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100"/>
      </w:pPr>
      <w:r>
        <w:rPr>
          <w:rFonts w:ascii="Calibri" w:hAnsi="Calibri"/>
          <w:b/>
          <w:color w:val="0F172A"/>
          <w:sz w:val="56"/>
        </w:rPr>
        <w:t>AI Procurement Worked Example</w:t>
      </w:r>
    </w:p>
    <w:p>
      <w:pPr>
        <w:pStyle w:val="Subtitle"/>
        <w:spacing w:after="240"/>
      </w:pPr>
      <w:r>
        <w:rPr>
          <w:rFonts w:ascii="Calibri" w:hAnsi="Calibri"/>
          <w:color w:val="0F766E"/>
          <w:sz w:val="28"/>
        </w:rPr>
        <w:t>A fictional, editable package for scoping, evaluating, piloting, and exiting an AI-assisted public workflow</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vAlign w:val="top"/>
            <w:shd w:fill="FFF7E6"/>
          </w:tcPr>
          <w:p>
            <w:pPr>
              <w:spacing w:after="60"/>
            </w:pPr>
            <w:r>
              <w:rPr>
                <w:b/>
                <w:color w:val="1F4D78"/>
              </w:rPr>
              <w:t>Fictional example</w:t>
            </w:r>
          </w:p>
          <w:p>
            <w:pPr>
              <w:spacing w:after="0"/>
            </w:pPr>
            <w:r>
              <w:t>Riverview County is not a real organization. Names, volumes, costs, vendors, and results are illustrative. Replace them with locally verified facts and requirements.</w:t>
            </w:r>
          </w:p>
        </w:tc>
      </w:tr>
    </w:tbl>
    <w:p>
      <w:pPr>
        <w:spacing w:after="0"/>
      </w:pPr>
    </w:p>
    <w:p>
      <w:r>
        <w:t>Use this package to see how a public team can turn an operational need into a testable procurement record. It is not legal advice, a model solicitation, or a universal statement of procurement requirements. Responsible local officials must verify authority, law, policy, security, privacy, accessibility, records, labor, budget, and purchasing requirements.</w:t>
      </w:r>
    </w:p>
    <w:p>
      <w:r>
        <w:t>Publisher: JS Technology Solutions, Inc., a software and technology-services vendor. The neutral procurement record comes first. No product is recommended by this package.</w:t>
      </w:r>
    </w:p>
    <w:p>
      <w:pPr>
        <w:pStyle w:val="Heading1"/>
        <w:keepNext/>
      </w:pPr>
      <w:r>
        <w:t>Package contents</w:t>
      </w:r>
    </w:p>
    <w:p>
      <w:pPr>
        <w:pStyle w:val="ListNumber"/>
      </w:pPr>
      <w:r>
        <w:t>Decision brief and alternatives screen</w:t>
      </w:r>
    </w:p>
    <w:p>
      <w:pPr>
        <w:pStyle w:val="ListNumber"/>
      </w:pPr>
      <w:r>
        <w:t>Authority, role, and data boundaries</w:t>
      </w:r>
    </w:p>
    <w:p>
      <w:pPr>
        <w:pStyle w:val="ListNumber"/>
      </w:pPr>
      <w:r>
        <w:t>Draft outcome-based requirements</w:t>
      </w:r>
    </w:p>
    <w:p>
      <w:pPr>
        <w:pStyle w:val="ListNumber"/>
      </w:pPr>
      <w:r>
        <w:t>Vendor evidence request and demonstration script</w:t>
      </w:r>
    </w:p>
    <w:p>
      <w:pPr>
        <w:pStyle w:val="ListNumber"/>
      </w:pPr>
      <w:r>
        <w:t>Evaluation and weighted scoring framework</w:t>
      </w:r>
    </w:p>
    <w:p>
      <w:pPr>
        <w:pStyle w:val="ListNumber"/>
      </w:pPr>
      <w:r>
        <w:t>Bounded pilot and acceptance plan</w:t>
      </w:r>
    </w:p>
    <w:p>
      <w:pPr>
        <w:pStyle w:val="ListNumber"/>
      </w:pPr>
      <w:r>
        <w:t>Pricing, change-control, and exit questions</w:t>
      </w:r>
    </w:p>
    <w:p>
      <w:pPr>
        <w:pStyle w:val="ListNumber"/>
      </w:pPr>
      <w:r>
        <w:t>Source notes and local-verification checklist</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vAlign w:val="top"/>
            <w:shd w:fill="E8EEF5"/>
          </w:tcPr>
          <w:p>
            <w:pPr>
              <w:spacing w:after="60"/>
            </w:pPr>
            <w:r>
              <w:rPr>
                <w:b/>
                <w:color w:val="1F4D78"/>
              </w:rPr>
              <w:t>Use with the companion workbook</w:t>
            </w:r>
          </w:p>
          <w:p>
            <w:pPr>
              <w:spacing w:after="0"/>
            </w:pPr>
            <w:r>
              <w:t>The Excel workbook carries the requirements matrix, vendor scoring, demonstration record, pricing comparison, and pilot acceptance evidence. Keep procurement-sensitive material only in an approved environment.</w:t>
            </w:r>
          </w:p>
        </w:tc>
      </w:tr>
    </w:tbl>
    <w:p>
      <w:pPr>
        <w:spacing w:after="0"/>
      </w:pPr>
    </w:p>
    <w:p>
      <w:r>
        <w:br w:type="page"/>
      </w:r>
    </w:p>
    <w:p>
      <w:pPr>
        <w:pStyle w:val="Title"/>
        <w:spacing w:after="100"/>
      </w:pPr>
      <w:r>
        <w:rPr>
          <w:rFonts w:ascii="Calibri" w:hAnsi="Calibri"/>
          <w:b/>
          <w:color w:val="0F172A"/>
          <w:sz w:val="56"/>
        </w:rPr>
        <w:t>Worked scenario</w:t>
      </w:r>
    </w:p>
    <w:p>
      <w:pPr>
        <w:pStyle w:val="Subtitle"/>
        <w:spacing w:after="240"/>
      </w:pPr>
      <w:r>
        <w:rPr>
          <w:rFonts w:ascii="Calibri" w:hAnsi="Calibri"/>
          <w:color w:val="0F766E"/>
          <w:sz w:val="28"/>
        </w:rPr>
        <w:t>Resident service-request triage and acknowledgment drafting</w:t>
      </w:r>
    </w:p>
    <w:p>
      <w:pPr>
        <w:pStyle w:val="Heading1"/>
        <w:keepNext/>
      </w:pPr>
      <w:r>
        <w:t>Illustrative operating context</w:t>
      </w:r>
    </w:p>
    <w:p>
      <w:r>
        <w:t>Riverview County receives non-emergency service requests through web forms, email, and phone notes. Staff manually classify each request, route it to a department, and draft an acknowledgment. The county wants to test whether an AI-assisted workflow can reduce routine sorting work without changing public-service decisions or creating an uncontrolled system of record.</w:t>
      </w:r>
    </w:p>
    <w:tbl>
      <w:tblPr>
        <w:tblStyle w:val="TableGrid"/>
        <w:tblW w:type="dxa" w:w="9360"/>
        <w:jc w:val="left"/>
        <w:tblLayout w:type="fixed"/>
        <w:tblLook w:firstColumn="1" w:firstRow="1" w:lastColumn="0" w:lastRow="0" w:noHBand="0" w:noVBand="1" w:val="04A0"/>
        <w:tblInd w:w="120" w:type="dxa"/>
      </w:tblPr>
      <w:tblGrid>
        <w:gridCol w:w="2100"/>
        <w:gridCol w:w="7260"/>
      </w:tblGrid>
      <w:tr>
        <w:trPr>
          <w:cantSplit/>
          <w:tblHeader w:val="true"/>
        </w:trPr>
        <w:tc>
          <w:tcPr>
            <w:tcW w:type="dxa" w:w="2100"/>
            <w:shd w:fill="E8EEF5"/>
            <w:tcMar>
              <w:top w:w="80" w:type="dxa"/>
              <w:start w:w="120" w:type="dxa"/>
              <w:bottom w:w="80" w:type="dxa"/>
              <w:end w:w="120" w:type="dxa"/>
            </w:tcMar>
            <w:vAlign w:val="top"/>
          </w:tcPr>
          <w:p>
            <w:r>
              <w:rPr>
                <w:b/>
                <w:color w:val="0F172A"/>
              </w:rPr>
              <w:t>Element</w:t>
            </w:r>
          </w:p>
        </w:tc>
        <w:tc>
          <w:tcPr>
            <w:tcW w:type="dxa" w:w="7260"/>
            <w:shd w:fill="E8EEF5"/>
            <w:tcMar>
              <w:top w:w="80" w:type="dxa"/>
              <w:start w:w="120" w:type="dxa"/>
              <w:bottom w:w="80" w:type="dxa"/>
              <w:end w:w="120" w:type="dxa"/>
            </w:tcMar>
            <w:vAlign w:val="top"/>
          </w:tcPr>
          <w:p>
            <w:r>
              <w:rPr>
                <w:b/>
                <w:color w:val="0F172A"/>
              </w:rPr>
              <w:t>Illustrative fact</w:t>
            </w:r>
          </w:p>
        </w:tc>
      </w:tr>
      <w:tr>
        <w:trPr>
          <w:cantSplit/>
        </w:trPr>
        <w:tc>
          <w:tcPr>
            <w:tcW w:type="dxa" w:w="2100"/>
            <w:tcMar>
              <w:top w:w="80" w:type="dxa"/>
              <w:start w:w="120" w:type="dxa"/>
              <w:bottom w:w="80" w:type="dxa"/>
              <w:end w:w="120" w:type="dxa"/>
            </w:tcMar>
            <w:vAlign w:val="top"/>
          </w:tcPr>
          <w:p>
            <w:r>
              <w:t>Operational outcome</w:t>
            </w:r>
          </w:p>
        </w:tc>
        <w:tc>
          <w:tcPr>
            <w:tcW w:type="dxa" w:w="7260"/>
            <w:tcMar>
              <w:top w:w="80" w:type="dxa"/>
              <w:start w:w="120" w:type="dxa"/>
              <w:bottom w:w="80" w:type="dxa"/>
              <w:end w:w="120" w:type="dxa"/>
            </w:tcMar>
            <w:vAlign w:val="top"/>
          </w:tcPr>
          <w:p>
            <w:r>
              <w:t>Route routine requests to the correct queue and prepare a plain-language draft acknowledgment for staff review.</w:t>
            </w:r>
          </w:p>
        </w:tc>
      </w:tr>
      <w:tr>
        <w:trPr>
          <w:cantSplit/>
        </w:trPr>
        <w:tc>
          <w:tcPr>
            <w:tcW w:type="dxa" w:w="2100"/>
            <w:tcMar>
              <w:top w:w="80" w:type="dxa"/>
              <w:start w:w="120" w:type="dxa"/>
              <w:bottom w:w="80" w:type="dxa"/>
              <w:end w:w="120" w:type="dxa"/>
            </w:tcMar>
            <w:vAlign w:val="top"/>
          </w:tcPr>
          <w:p>
            <w:r>
              <w:t>In scope</w:t>
            </w:r>
          </w:p>
        </w:tc>
        <w:tc>
          <w:tcPr>
            <w:tcW w:type="dxa" w:w="7260"/>
            <w:tcMar>
              <w:top w:w="80" w:type="dxa"/>
              <w:start w:w="120" w:type="dxa"/>
              <w:bottom w:w="80" w:type="dxa"/>
              <w:end w:w="120" w:type="dxa"/>
            </w:tcMar>
            <w:vAlign w:val="top"/>
          </w:tcPr>
          <w:p>
            <w:r>
              <w:t>Category recommendation, department recommendation, duplicate suggestion, draft acknowledgment, and evidence-linked confidence.</w:t>
            </w:r>
          </w:p>
        </w:tc>
      </w:tr>
      <w:tr>
        <w:trPr>
          <w:cantSplit/>
        </w:trPr>
        <w:tc>
          <w:tcPr>
            <w:tcW w:type="dxa" w:w="2100"/>
            <w:tcMar>
              <w:top w:w="80" w:type="dxa"/>
              <w:start w:w="120" w:type="dxa"/>
              <w:bottom w:w="80" w:type="dxa"/>
              <w:end w:w="120" w:type="dxa"/>
            </w:tcMar>
            <w:vAlign w:val="top"/>
          </w:tcPr>
          <w:p>
            <w:r>
              <w:t>Out of scope</w:t>
            </w:r>
          </w:p>
        </w:tc>
        <w:tc>
          <w:tcPr>
            <w:tcW w:type="dxa" w:w="7260"/>
            <w:tcMar>
              <w:top w:w="80" w:type="dxa"/>
              <w:start w:w="120" w:type="dxa"/>
              <w:bottom w:w="80" w:type="dxa"/>
              <w:end w:w="120" w:type="dxa"/>
            </w:tcMar>
            <w:vAlign w:val="top"/>
          </w:tcPr>
          <w:p>
            <w:r>
              <w:t>Emergency response, eligibility, enforcement, benefits, payment, case disposition, final communication, and autonomous record changes.</w:t>
            </w:r>
          </w:p>
        </w:tc>
      </w:tr>
      <w:tr>
        <w:trPr>
          <w:cantSplit/>
        </w:trPr>
        <w:tc>
          <w:tcPr>
            <w:tcW w:type="dxa" w:w="2100"/>
            <w:tcMar>
              <w:top w:w="80" w:type="dxa"/>
              <w:start w:w="120" w:type="dxa"/>
              <w:bottom w:w="80" w:type="dxa"/>
              <w:end w:w="120" w:type="dxa"/>
            </w:tcMar>
            <w:vAlign w:val="top"/>
          </w:tcPr>
          <w:p>
            <w:r>
              <w:t>Users</w:t>
            </w:r>
          </w:p>
        </w:tc>
        <w:tc>
          <w:tcPr>
            <w:tcW w:type="dxa" w:w="7260"/>
            <w:tcMar>
              <w:top w:w="80" w:type="dxa"/>
              <w:start w:w="120" w:type="dxa"/>
              <w:bottom w:w="80" w:type="dxa"/>
              <w:end w:w="120" w:type="dxa"/>
            </w:tcMar>
            <w:vAlign w:val="top"/>
          </w:tcPr>
          <w:p>
            <w:r>
              <w:t>Service-center staff, department queue owners, records staff, IT, security, privacy, accessibility, procurement, and finance.</w:t>
            </w:r>
          </w:p>
        </w:tc>
      </w:tr>
      <w:tr>
        <w:trPr>
          <w:cantSplit/>
        </w:trPr>
        <w:tc>
          <w:tcPr>
            <w:tcW w:type="dxa" w:w="2100"/>
            <w:tcMar>
              <w:top w:w="80" w:type="dxa"/>
              <w:start w:w="120" w:type="dxa"/>
              <w:bottom w:w="80" w:type="dxa"/>
              <w:end w:w="120" w:type="dxa"/>
            </w:tcMar>
            <w:vAlign w:val="top"/>
          </w:tcPr>
          <w:p>
            <w:r>
              <w:t>Pilot data</w:t>
            </w:r>
          </w:p>
        </w:tc>
        <w:tc>
          <w:tcPr>
            <w:tcW w:type="dxa" w:w="7260"/>
            <w:tcMar>
              <w:top w:w="80" w:type="dxa"/>
              <w:start w:w="120" w:type="dxa"/>
              <w:bottom w:w="80" w:type="dxa"/>
              <w:end w:w="120" w:type="dxa"/>
            </w:tcMar>
            <w:vAlign w:val="top"/>
          </w:tcPr>
          <w:p>
            <w:r>
              <w:t>Approved, minimized, representative samples with protected content removed or handled in an authorized environment.</w:t>
            </w:r>
          </w:p>
        </w:tc>
      </w:tr>
      <w:tr>
        <w:trPr>
          <w:cantSplit/>
        </w:trPr>
        <w:tc>
          <w:tcPr>
            <w:tcW w:type="dxa" w:w="2100"/>
            <w:tcMar>
              <w:top w:w="80" w:type="dxa"/>
              <w:start w:w="120" w:type="dxa"/>
              <w:bottom w:w="80" w:type="dxa"/>
              <w:end w:w="120" w:type="dxa"/>
            </w:tcMar>
            <w:vAlign w:val="top"/>
          </w:tcPr>
          <w:p>
            <w:r>
              <w:t>Decision</w:t>
            </w:r>
          </w:p>
        </w:tc>
        <w:tc>
          <w:tcPr>
            <w:tcW w:type="dxa" w:w="7260"/>
            <w:tcMar>
              <w:top w:w="80" w:type="dxa"/>
              <w:start w:w="120" w:type="dxa"/>
              <w:bottom w:w="80" w:type="dxa"/>
              <w:end w:w="120" w:type="dxa"/>
            </w:tcMar>
            <w:vAlign w:val="top"/>
          </w:tcPr>
          <w:p>
            <w:r>
              <w:t>Continue, repair, rescope, or stop based on tested accuracy, human workload, safety boundaries, accessibility, cost, and operational fit.</w:t>
            </w:r>
          </w:p>
        </w:tc>
      </w:tr>
    </w:tbl>
    <w:p>
      <w:pPr>
        <w:spacing w:after="0"/>
      </w:pPr>
    </w:p>
    <w:p>
      <w:pPr>
        <w:pStyle w:val="Heading1"/>
        <w:keepNext/>
      </w:pPr>
      <w:r>
        <w:t>Decision statement</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vAlign w:val="top"/>
            <w:shd w:fill="E8EEF5"/>
          </w:tcPr>
          <w:p>
            <w:pPr>
              <w:spacing w:after="60"/>
            </w:pPr>
            <w:r>
              <w:rPr>
                <w:b/>
                <w:color w:val="1F4D78"/>
              </w:rPr>
              <w:t>Working decision</w:t>
            </w:r>
          </w:p>
          <w:p>
            <w:pPr>
              <w:spacing w:after="0"/>
            </w:pPr>
            <w:r>
              <w:t>Determine whether an AI-assisted triage function can recommend a category and draft an acknowledgment for staff review, using an approved data set, without making public-service decisions or changing records autonomously.</w:t>
            </w:r>
          </w:p>
        </w:tc>
      </w:tr>
    </w:tbl>
    <w:p>
      <w:pPr>
        <w:spacing w:after="0"/>
      </w:pPr>
    </w:p>
    <w:p>
      <w:pPr>
        <w:pStyle w:val="Heading1"/>
        <w:keepNext/>
      </w:pPr>
      <w:r>
        <w:t>Alternatives screen</w:t>
      </w:r>
    </w:p>
    <w:tbl>
      <w:tblPr>
        <w:tblStyle w:val="TableGrid"/>
        <w:tblW w:type="dxa" w:w="9360"/>
        <w:jc w:val="left"/>
        <w:tblLayout w:type="fixed"/>
        <w:tblLook w:firstColumn="1" w:firstRow="1" w:lastColumn="0" w:lastRow="0" w:noHBand="0" w:noVBand="1" w:val="04A0"/>
        <w:tblInd w:w="120" w:type="dxa"/>
      </w:tblPr>
      <w:tblGrid>
        <w:gridCol w:w="1900"/>
        <w:gridCol w:w="4660"/>
        <w:gridCol w:w="2800"/>
      </w:tblGrid>
      <w:tr>
        <w:trPr>
          <w:cantSplit/>
          <w:tblHeader w:val="true"/>
        </w:trPr>
        <w:tc>
          <w:tcPr>
            <w:tcW w:type="dxa" w:w="1900"/>
            <w:shd w:fill="E8EEF5"/>
            <w:tcMar>
              <w:top w:w="80" w:type="dxa"/>
              <w:start w:w="120" w:type="dxa"/>
              <w:bottom w:w="80" w:type="dxa"/>
              <w:end w:w="120" w:type="dxa"/>
            </w:tcMar>
            <w:vAlign w:val="top"/>
          </w:tcPr>
          <w:p>
            <w:r>
              <w:rPr>
                <w:b/>
                <w:color w:val="0F172A"/>
              </w:rPr>
              <w:t>Alternative</w:t>
            </w:r>
          </w:p>
        </w:tc>
        <w:tc>
          <w:tcPr>
            <w:tcW w:type="dxa" w:w="4660"/>
            <w:shd w:fill="E8EEF5"/>
            <w:tcMar>
              <w:top w:w="80" w:type="dxa"/>
              <w:start w:w="120" w:type="dxa"/>
              <w:bottom w:w="80" w:type="dxa"/>
              <w:end w:w="120" w:type="dxa"/>
            </w:tcMar>
            <w:vAlign w:val="top"/>
          </w:tcPr>
          <w:p>
            <w:r>
              <w:rPr>
                <w:b/>
                <w:color w:val="0F172A"/>
              </w:rPr>
              <w:t>What the team tested first</w:t>
            </w:r>
          </w:p>
        </w:tc>
        <w:tc>
          <w:tcPr>
            <w:tcW w:type="dxa" w:w="2800"/>
            <w:shd w:fill="E8EEF5"/>
            <w:tcMar>
              <w:top w:w="80" w:type="dxa"/>
              <w:start w:w="120" w:type="dxa"/>
              <w:bottom w:w="80" w:type="dxa"/>
              <w:end w:w="120" w:type="dxa"/>
            </w:tcMar>
            <w:vAlign w:val="top"/>
          </w:tcPr>
          <w:p>
            <w:r>
              <w:rPr>
                <w:b/>
                <w:color w:val="0F172A"/>
              </w:rPr>
              <w:t>Disposition</w:t>
            </w:r>
          </w:p>
        </w:tc>
      </w:tr>
      <w:tr>
        <w:trPr>
          <w:cantSplit/>
        </w:trPr>
        <w:tc>
          <w:tcPr>
            <w:tcW w:type="dxa" w:w="1900"/>
            <w:tcMar>
              <w:top w:w="80" w:type="dxa"/>
              <w:start w:w="120" w:type="dxa"/>
              <w:bottom w:w="80" w:type="dxa"/>
              <w:end w:w="120" w:type="dxa"/>
            </w:tcMar>
            <w:vAlign w:val="top"/>
          </w:tcPr>
          <w:p>
            <w:r>
              <w:t>Process repair</w:t>
            </w:r>
          </w:p>
        </w:tc>
        <w:tc>
          <w:tcPr>
            <w:tcW w:type="dxa" w:w="4660"/>
            <w:tcMar>
              <w:top w:w="80" w:type="dxa"/>
              <w:start w:w="120" w:type="dxa"/>
              <w:bottom w:w="80" w:type="dxa"/>
              <w:end w:w="120" w:type="dxa"/>
            </w:tcMar>
            <w:vAlign w:val="top"/>
          </w:tcPr>
          <w:p>
            <w:r>
              <w:t>Standardize intake categories, ownership, and queue rules.</w:t>
            </w:r>
          </w:p>
        </w:tc>
        <w:tc>
          <w:tcPr>
            <w:tcW w:type="dxa" w:w="2800"/>
            <w:tcMar>
              <w:top w:w="80" w:type="dxa"/>
              <w:start w:w="120" w:type="dxa"/>
              <w:bottom w:w="80" w:type="dxa"/>
              <w:end w:w="120" w:type="dxa"/>
            </w:tcMar>
            <w:vAlign w:val="top"/>
          </w:tcPr>
          <w:p>
            <w:r>
              <w:t>Required regardless of technology.</w:t>
            </w:r>
          </w:p>
        </w:tc>
      </w:tr>
      <w:tr>
        <w:trPr>
          <w:cantSplit/>
        </w:trPr>
        <w:tc>
          <w:tcPr>
            <w:tcW w:type="dxa" w:w="1900"/>
            <w:tcMar>
              <w:top w:w="80" w:type="dxa"/>
              <w:start w:w="120" w:type="dxa"/>
              <w:bottom w:w="80" w:type="dxa"/>
              <w:end w:w="120" w:type="dxa"/>
            </w:tcMar>
            <w:vAlign w:val="top"/>
          </w:tcPr>
          <w:p>
            <w:r>
              <w:t>Existing-system configuration</w:t>
            </w:r>
          </w:p>
        </w:tc>
        <w:tc>
          <w:tcPr>
            <w:tcW w:type="dxa" w:w="4660"/>
            <w:tcMar>
              <w:top w:w="80" w:type="dxa"/>
              <w:start w:w="120" w:type="dxa"/>
              <w:bottom w:w="80" w:type="dxa"/>
              <w:end w:w="120" w:type="dxa"/>
            </w:tcMar>
            <w:vAlign w:val="top"/>
          </w:tcPr>
          <w:p>
            <w:r>
              <w:t>Test current routing rules, templates, and queue administration.</w:t>
            </w:r>
          </w:p>
        </w:tc>
        <w:tc>
          <w:tcPr>
            <w:tcW w:type="dxa" w:w="2800"/>
            <w:tcMar>
              <w:top w:w="80" w:type="dxa"/>
              <w:start w:w="120" w:type="dxa"/>
              <w:bottom w:w="80" w:type="dxa"/>
              <w:end w:w="120" w:type="dxa"/>
            </w:tcMar>
            <w:vAlign w:val="top"/>
          </w:tcPr>
          <w:p>
            <w:r>
              <w:t>Keep confirmed capabilities.</w:t>
            </w:r>
          </w:p>
        </w:tc>
      </w:tr>
      <w:tr>
        <w:trPr>
          <w:cantSplit/>
        </w:trPr>
        <w:tc>
          <w:tcPr>
            <w:tcW w:type="dxa" w:w="1900"/>
            <w:tcMar>
              <w:top w:w="80" w:type="dxa"/>
              <w:start w:w="120" w:type="dxa"/>
              <w:bottom w:w="80" w:type="dxa"/>
              <w:end w:w="120" w:type="dxa"/>
            </w:tcMar>
            <w:vAlign w:val="top"/>
          </w:tcPr>
          <w:p>
            <w:r>
              <w:t>Rules-based automation</w:t>
            </w:r>
          </w:p>
        </w:tc>
        <w:tc>
          <w:tcPr>
            <w:tcW w:type="dxa" w:w="4660"/>
            <w:tcMar>
              <w:top w:w="80" w:type="dxa"/>
              <w:start w:w="120" w:type="dxa"/>
              <w:bottom w:w="80" w:type="dxa"/>
              <w:end w:w="120" w:type="dxa"/>
            </w:tcMar>
            <w:vAlign w:val="top"/>
          </w:tcPr>
          <w:p>
            <w:r>
              <w:t>Use explicit keywords and source-channel rules for predictable cases.</w:t>
            </w:r>
          </w:p>
        </w:tc>
        <w:tc>
          <w:tcPr>
            <w:tcW w:type="dxa" w:w="2800"/>
            <w:tcMar>
              <w:top w:w="80" w:type="dxa"/>
              <w:start w:w="120" w:type="dxa"/>
              <w:bottom w:w="80" w:type="dxa"/>
              <w:end w:w="120" w:type="dxa"/>
            </w:tcMar>
            <w:vAlign w:val="top"/>
          </w:tcPr>
          <w:p>
            <w:r>
              <w:t>Use where the logic is stable and reproducible.</w:t>
            </w:r>
          </w:p>
        </w:tc>
      </w:tr>
      <w:tr>
        <w:trPr>
          <w:cantSplit/>
        </w:trPr>
        <w:tc>
          <w:tcPr>
            <w:tcW w:type="dxa" w:w="1900"/>
            <w:tcMar>
              <w:top w:w="80" w:type="dxa"/>
              <w:start w:w="120" w:type="dxa"/>
              <w:bottom w:w="80" w:type="dxa"/>
              <w:end w:w="120" w:type="dxa"/>
            </w:tcMar>
            <w:vAlign w:val="top"/>
          </w:tcPr>
          <w:p>
            <w:r>
              <w:t>Conventional software or service</w:t>
            </w:r>
          </w:p>
        </w:tc>
        <w:tc>
          <w:tcPr>
            <w:tcW w:type="dxa" w:w="4660"/>
            <w:tcMar>
              <w:top w:w="80" w:type="dxa"/>
              <w:start w:w="120" w:type="dxa"/>
              <w:bottom w:w="80" w:type="dxa"/>
              <w:end w:w="120" w:type="dxa"/>
            </w:tcMar>
            <w:vAlign w:val="top"/>
          </w:tcPr>
          <w:p>
            <w:r>
              <w:t>Review non-AI case-management and workflow options.</w:t>
            </w:r>
          </w:p>
        </w:tc>
        <w:tc>
          <w:tcPr>
            <w:tcW w:type="dxa" w:w="2800"/>
            <w:tcMar>
              <w:top w:w="80" w:type="dxa"/>
              <w:start w:w="120" w:type="dxa"/>
              <w:bottom w:w="80" w:type="dxa"/>
              <w:end w:w="120" w:type="dxa"/>
            </w:tcMar>
            <w:vAlign w:val="top"/>
          </w:tcPr>
          <w:p>
            <w:r>
              <w:t>Retain as a competitive alternative.</w:t>
            </w:r>
          </w:p>
        </w:tc>
      </w:tr>
      <w:tr>
        <w:trPr>
          <w:cantSplit/>
        </w:trPr>
        <w:tc>
          <w:tcPr>
            <w:tcW w:type="dxa" w:w="1900"/>
            <w:tcMar>
              <w:top w:w="80" w:type="dxa"/>
              <w:start w:w="120" w:type="dxa"/>
              <w:bottom w:w="80" w:type="dxa"/>
              <w:end w:w="120" w:type="dxa"/>
            </w:tcMar>
            <w:vAlign w:val="top"/>
          </w:tcPr>
          <w:p>
            <w:r>
              <w:t>AI-assisted function</w:t>
            </w:r>
          </w:p>
        </w:tc>
        <w:tc>
          <w:tcPr>
            <w:tcW w:type="dxa" w:w="4660"/>
            <w:tcMar>
              <w:top w:w="80" w:type="dxa"/>
              <w:start w:w="120" w:type="dxa"/>
              <w:bottom w:w="80" w:type="dxa"/>
              <w:end w:w="120" w:type="dxa"/>
            </w:tcMar>
            <w:vAlign w:val="top"/>
          </w:tcPr>
          <w:p>
            <w:r>
              <w:t>Test only the ambiguous classification and drafting work that remains.</w:t>
            </w:r>
          </w:p>
        </w:tc>
        <w:tc>
          <w:tcPr>
            <w:tcW w:type="dxa" w:w="2800"/>
            <w:tcMar>
              <w:top w:w="80" w:type="dxa"/>
              <w:start w:w="120" w:type="dxa"/>
              <w:bottom w:w="80" w:type="dxa"/>
              <w:end w:w="120" w:type="dxa"/>
            </w:tcMar>
            <w:vAlign w:val="top"/>
          </w:tcPr>
          <w:p>
            <w:r>
              <w:t>Eligible for a bounded test, not yet a purchase decision.</w:t>
            </w:r>
          </w:p>
        </w:tc>
      </w:tr>
    </w:tbl>
    <w:p>
      <w:pPr>
        <w:spacing w:after="0"/>
      </w:pPr>
    </w:p>
    <w:p>
      <w:r>
        <w:br w:type="page"/>
      </w:r>
    </w:p>
    <w:p>
      <w:pPr>
        <w:pStyle w:val="Title"/>
        <w:spacing w:after="100"/>
      </w:pPr>
      <w:r>
        <w:rPr>
          <w:rFonts w:ascii="Calibri" w:hAnsi="Calibri"/>
          <w:b/>
          <w:color w:val="0F172A"/>
          <w:sz w:val="56"/>
        </w:rPr>
        <w:t>1. Decision brief</w:t>
      </w:r>
    </w:p>
    <w:p>
      <w:pPr>
        <w:pStyle w:val="Subtitle"/>
        <w:spacing w:after="240"/>
      </w:pPr>
      <w:r>
        <w:rPr>
          <w:rFonts w:ascii="Calibri" w:hAnsi="Calibri"/>
          <w:color w:val="0F766E"/>
          <w:sz w:val="28"/>
        </w:rPr>
        <w:t>Replace illustrative entries with locally verified facts</w:t>
      </w:r>
    </w:p>
    <w:tbl>
      <w:tblPr>
        <w:tblStyle w:val="TableGrid"/>
        <w:tblW w:type="dxa" w:w="9360"/>
        <w:jc w:val="left"/>
        <w:tblLayout w:type="fixed"/>
        <w:tblLook w:firstColumn="1" w:firstRow="1" w:lastColumn="0" w:lastRow="0" w:noHBand="0" w:noVBand="1" w:val="04A0"/>
        <w:tblInd w:w="120" w:type="dxa"/>
      </w:tblPr>
      <w:tblGrid>
        <w:gridCol w:w="1800"/>
        <w:gridCol w:w="4100"/>
        <w:gridCol w:w="3460"/>
      </w:tblGrid>
      <w:tr>
        <w:trPr>
          <w:cantSplit/>
          <w:tblHeader w:val="true"/>
        </w:trPr>
        <w:tc>
          <w:tcPr>
            <w:tcW w:type="dxa" w:w="1800"/>
            <w:shd w:fill="E8EEF5"/>
            <w:tcMar>
              <w:top w:w="80" w:type="dxa"/>
              <w:start w:w="120" w:type="dxa"/>
              <w:bottom w:w="80" w:type="dxa"/>
              <w:end w:w="120" w:type="dxa"/>
            </w:tcMar>
            <w:vAlign w:val="top"/>
          </w:tcPr>
          <w:p>
            <w:r>
              <w:rPr>
                <w:b/>
                <w:color w:val="0F172A"/>
              </w:rPr>
              <w:t>Field</w:t>
            </w:r>
          </w:p>
        </w:tc>
        <w:tc>
          <w:tcPr>
            <w:tcW w:type="dxa" w:w="4100"/>
            <w:shd w:fill="E8EEF5"/>
            <w:tcMar>
              <w:top w:w="80" w:type="dxa"/>
              <w:start w:w="120" w:type="dxa"/>
              <w:bottom w:w="80" w:type="dxa"/>
              <w:end w:w="120" w:type="dxa"/>
            </w:tcMar>
            <w:vAlign w:val="top"/>
          </w:tcPr>
          <w:p>
            <w:r>
              <w:rPr>
                <w:b/>
                <w:color w:val="0F172A"/>
              </w:rPr>
              <w:t>Worked example</w:t>
            </w:r>
          </w:p>
        </w:tc>
        <w:tc>
          <w:tcPr>
            <w:tcW w:type="dxa" w:w="3460"/>
            <w:shd w:fill="E8EEF5"/>
            <w:tcMar>
              <w:top w:w="80" w:type="dxa"/>
              <w:start w:w="120" w:type="dxa"/>
              <w:bottom w:w="80" w:type="dxa"/>
              <w:end w:w="120" w:type="dxa"/>
            </w:tcMar>
            <w:vAlign w:val="top"/>
          </w:tcPr>
          <w:p>
            <w:r>
              <w:rPr>
                <w:b/>
                <w:color w:val="0F172A"/>
              </w:rPr>
              <w:t>Local entry or question</w:t>
            </w:r>
          </w:p>
        </w:tc>
      </w:tr>
      <w:tr>
        <w:trPr>
          <w:cantSplit/>
        </w:trPr>
        <w:tc>
          <w:tcPr>
            <w:tcW w:type="dxa" w:w="1800"/>
            <w:tcMar>
              <w:top w:w="80" w:type="dxa"/>
              <w:start w:w="120" w:type="dxa"/>
              <w:bottom w:w="80" w:type="dxa"/>
              <w:end w:w="120" w:type="dxa"/>
            </w:tcMar>
            <w:vAlign w:val="top"/>
          </w:tcPr>
          <w:p>
            <w:r>
              <w:t>Problem owner</w:t>
            </w:r>
          </w:p>
        </w:tc>
        <w:tc>
          <w:tcPr>
            <w:tcW w:type="dxa" w:w="4100"/>
            <w:tcMar>
              <w:top w:w="80" w:type="dxa"/>
              <w:start w:w="120" w:type="dxa"/>
              <w:bottom w:w="80" w:type="dxa"/>
              <w:end w:w="120" w:type="dxa"/>
            </w:tcMar>
            <w:vAlign w:val="top"/>
          </w:tcPr>
          <w:p>
            <w:r>
              <w:t>Director of resident services</w:t>
            </w:r>
          </w:p>
        </w:tc>
        <w:tc>
          <w:tcPr>
            <w:tcW w:type="dxa" w:w="3460"/>
            <w:tcMar>
              <w:top w:w="80" w:type="dxa"/>
              <w:start w:w="120" w:type="dxa"/>
              <w:bottom w:w="80" w:type="dxa"/>
              <w:end w:w="120" w:type="dxa"/>
            </w:tcMar>
            <w:vAlign w:val="top"/>
          </w:tcPr>
          <w:p>
            <w:r>
              <w:t>Who owns the outcome and can stop the work?</w:t>
            </w:r>
          </w:p>
        </w:tc>
      </w:tr>
      <w:tr>
        <w:trPr>
          <w:cantSplit/>
        </w:trPr>
        <w:tc>
          <w:tcPr>
            <w:tcW w:type="dxa" w:w="1800"/>
            <w:tcMar>
              <w:top w:w="80" w:type="dxa"/>
              <w:start w:w="120" w:type="dxa"/>
              <w:bottom w:w="80" w:type="dxa"/>
              <w:end w:w="120" w:type="dxa"/>
            </w:tcMar>
            <w:vAlign w:val="top"/>
          </w:tcPr>
          <w:p>
            <w:r>
              <w:t>Current baseline</w:t>
            </w:r>
          </w:p>
        </w:tc>
        <w:tc>
          <w:tcPr>
            <w:tcW w:type="dxa" w:w="4100"/>
            <w:tcMar>
              <w:top w:w="80" w:type="dxa"/>
              <w:start w:w="120" w:type="dxa"/>
              <w:bottom w:w="80" w:type="dxa"/>
              <w:end w:w="120" w:type="dxa"/>
            </w:tcMar>
            <w:vAlign w:val="top"/>
          </w:tcPr>
          <w:p>
            <w:r>
              <w:t>Manual classification, routing, and drafting with inconsistent queue rules</w:t>
            </w:r>
          </w:p>
        </w:tc>
        <w:tc>
          <w:tcPr>
            <w:tcW w:type="dxa" w:w="3460"/>
            <w:tcMar>
              <w:top w:w="80" w:type="dxa"/>
              <w:start w:w="120" w:type="dxa"/>
              <w:bottom w:w="80" w:type="dxa"/>
              <w:end w:w="120" w:type="dxa"/>
            </w:tcMar>
            <w:vAlign w:val="top"/>
          </w:tcPr>
          <w:p>
            <w:r>
              <w:t>What evidence describes current time, accuracy, backlog, rework, and user experience?</w:t>
            </w:r>
          </w:p>
        </w:tc>
      </w:tr>
      <w:tr>
        <w:trPr>
          <w:cantSplit/>
        </w:trPr>
        <w:tc>
          <w:tcPr>
            <w:tcW w:type="dxa" w:w="1800"/>
            <w:tcMar>
              <w:top w:w="80" w:type="dxa"/>
              <w:start w:w="120" w:type="dxa"/>
              <w:bottom w:w="80" w:type="dxa"/>
              <w:end w:w="120" w:type="dxa"/>
            </w:tcMar>
            <w:vAlign w:val="top"/>
          </w:tcPr>
          <w:p>
            <w:r>
              <w:t>Must-have outcome</w:t>
            </w:r>
          </w:p>
        </w:tc>
        <w:tc>
          <w:tcPr>
            <w:tcW w:type="dxa" w:w="4100"/>
            <w:tcMar>
              <w:top w:w="80" w:type="dxa"/>
              <w:start w:w="120" w:type="dxa"/>
              <w:bottom w:w="80" w:type="dxa"/>
              <w:end w:w="120" w:type="dxa"/>
            </w:tcMar>
            <w:vAlign w:val="top"/>
          </w:tcPr>
          <w:p>
            <w:r>
              <w:t>Faster staff handling of routine requests without weaker decisions, access, or records</w:t>
            </w:r>
          </w:p>
        </w:tc>
        <w:tc>
          <w:tcPr>
            <w:tcW w:type="dxa" w:w="3460"/>
            <w:tcMar>
              <w:top w:w="80" w:type="dxa"/>
              <w:start w:w="120" w:type="dxa"/>
              <w:bottom w:w="80" w:type="dxa"/>
              <w:end w:w="120" w:type="dxa"/>
            </w:tcMar>
            <w:vAlign w:val="top"/>
          </w:tcPr>
          <w:p>
            <w:r>
              <w:t>What observable result matters?</w:t>
            </w:r>
          </w:p>
        </w:tc>
      </w:tr>
      <w:tr>
        <w:trPr>
          <w:cantSplit/>
        </w:trPr>
        <w:tc>
          <w:tcPr>
            <w:tcW w:type="dxa" w:w="1800"/>
            <w:tcMar>
              <w:top w:w="80" w:type="dxa"/>
              <w:start w:w="120" w:type="dxa"/>
              <w:bottom w:w="80" w:type="dxa"/>
              <w:end w:w="120" w:type="dxa"/>
            </w:tcMar>
            <w:vAlign w:val="top"/>
          </w:tcPr>
          <w:p>
            <w:r>
              <w:t>Guardrails</w:t>
            </w:r>
          </w:p>
        </w:tc>
        <w:tc>
          <w:tcPr>
            <w:tcW w:type="dxa" w:w="4100"/>
            <w:tcMar>
              <w:top w:w="80" w:type="dxa"/>
              <w:start w:w="120" w:type="dxa"/>
              <w:bottom w:w="80" w:type="dxa"/>
              <w:end w:w="120" w:type="dxa"/>
            </w:tcMar>
            <w:vAlign w:val="top"/>
          </w:tcPr>
          <w:p>
            <w:r>
              <w:t>No emergency, eligibility, enforcement, benefit, payment, or final communication authority</w:t>
            </w:r>
          </w:p>
        </w:tc>
        <w:tc>
          <w:tcPr>
            <w:tcW w:type="dxa" w:w="3460"/>
            <w:tcMar>
              <w:top w:w="80" w:type="dxa"/>
              <w:start w:w="120" w:type="dxa"/>
              <w:bottom w:w="80" w:type="dxa"/>
              <w:end w:w="120" w:type="dxa"/>
            </w:tcMar>
            <w:vAlign w:val="top"/>
          </w:tcPr>
          <w:p>
            <w:r>
              <w:t>Which actions must remain prohibited or require human approval?</w:t>
            </w:r>
          </w:p>
        </w:tc>
      </w:tr>
      <w:tr>
        <w:trPr>
          <w:cantSplit/>
        </w:trPr>
        <w:tc>
          <w:tcPr>
            <w:tcW w:type="dxa" w:w="1800"/>
            <w:tcMar>
              <w:top w:w="80" w:type="dxa"/>
              <w:start w:w="120" w:type="dxa"/>
              <w:bottom w:w="80" w:type="dxa"/>
              <w:end w:w="120" w:type="dxa"/>
            </w:tcMar>
            <w:vAlign w:val="top"/>
          </w:tcPr>
          <w:p>
            <w:r>
              <w:t>Affected people</w:t>
            </w:r>
          </w:p>
        </w:tc>
        <w:tc>
          <w:tcPr>
            <w:tcW w:type="dxa" w:w="4100"/>
            <w:tcMar>
              <w:top w:w="80" w:type="dxa"/>
              <w:start w:w="120" w:type="dxa"/>
              <w:bottom w:w="80" w:type="dxa"/>
              <w:end w:w="120" w:type="dxa"/>
            </w:tcMar>
            <w:vAlign w:val="top"/>
          </w:tcPr>
          <w:p>
            <w:r>
              <w:t>Residents, staff, contractors, and people using assistive technology or language access</w:t>
            </w:r>
          </w:p>
        </w:tc>
        <w:tc>
          <w:tcPr>
            <w:tcW w:type="dxa" w:w="3460"/>
            <w:tcMar>
              <w:top w:w="80" w:type="dxa"/>
              <w:start w:w="120" w:type="dxa"/>
              <w:bottom w:w="80" w:type="dxa"/>
              <w:end w:w="120" w:type="dxa"/>
            </w:tcMar>
            <w:vAlign w:val="top"/>
          </w:tcPr>
          <w:p>
            <w:r>
              <w:t>Who may experience error, delay, exclusion, or burden?</w:t>
            </w:r>
          </w:p>
        </w:tc>
      </w:tr>
      <w:tr>
        <w:trPr>
          <w:cantSplit/>
        </w:trPr>
        <w:tc>
          <w:tcPr>
            <w:tcW w:type="dxa" w:w="1800"/>
            <w:tcMar>
              <w:top w:w="80" w:type="dxa"/>
              <w:start w:w="120" w:type="dxa"/>
              <w:bottom w:w="80" w:type="dxa"/>
              <w:end w:w="120" w:type="dxa"/>
            </w:tcMar>
            <w:vAlign w:val="top"/>
          </w:tcPr>
          <w:p>
            <w:r>
              <w:t>Decision date</w:t>
            </w:r>
          </w:p>
        </w:tc>
        <w:tc>
          <w:tcPr>
            <w:tcW w:type="dxa" w:w="4100"/>
            <w:tcMar>
              <w:top w:w="80" w:type="dxa"/>
              <w:start w:w="120" w:type="dxa"/>
              <w:bottom w:w="80" w:type="dxa"/>
              <w:end w:w="120" w:type="dxa"/>
            </w:tcMar>
            <w:vAlign w:val="top"/>
          </w:tcPr>
          <w:p>
            <w:r>
              <w:t>End of the bounded pilot</w:t>
            </w:r>
          </w:p>
        </w:tc>
        <w:tc>
          <w:tcPr>
            <w:tcW w:type="dxa" w:w="3460"/>
            <w:tcMar>
              <w:top w:w="80" w:type="dxa"/>
              <w:start w:w="120" w:type="dxa"/>
              <w:bottom w:w="80" w:type="dxa"/>
              <w:end w:w="120" w:type="dxa"/>
            </w:tcMar>
            <w:vAlign w:val="top"/>
          </w:tcPr>
          <w:p>
            <w:r>
              <w:t>When will the accountable owner decide?</w:t>
            </w:r>
          </w:p>
        </w:tc>
      </w:tr>
      <w:tr>
        <w:trPr>
          <w:cantSplit/>
        </w:trPr>
        <w:tc>
          <w:tcPr>
            <w:tcW w:type="dxa" w:w="1800"/>
            <w:tcMar>
              <w:top w:w="80" w:type="dxa"/>
              <w:start w:w="120" w:type="dxa"/>
              <w:bottom w:w="80" w:type="dxa"/>
              <w:end w:w="120" w:type="dxa"/>
            </w:tcMar>
            <w:vAlign w:val="top"/>
          </w:tcPr>
          <w:p>
            <w:r>
              <w:t>Decision options</w:t>
            </w:r>
          </w:p>
        </w:tc>
        <w:tc>
          <w:tcPr>
            <w:tcW w:type="dxa" w:w="4100"/>
            <w:tcMar>
              <w:top w:w="80" w:type="dxa"/>
              <w:start w:w="120" w:type="dxa"/>
              <w:bottom w:w="80" w:type="dxa"/>
              <w:end w:w="120" w:type="dxa"/>
            </w:tcMar>
            <w:vAlign w:val="top"/>
          </w:tcPr>
          <w:p>
            <w:r>
              <w:t>Continue, repair, rescope, or stop</w:t>
            </w:r>
          </w:p>
        </w:tc>
        <w:tc>
          <w:tcPr>
            <w:tcW w:type="dxa" w:w="3460"/>
            <w:tcMar>
              <w:top w:w="80" w:type="dxa"/>
              <w:start w:w="120" w:type="dxa"/>
              <w:bottom w:w="80" w:type="dxa"/>
              <w:end w:w="120" w:type="dxa"/>
            </w:tcMar>
            <w:vAlign w:val="top"/>
          </w:tcPr>
          <w:p>
            <w:r>
              <w:t>What choices remain genuinely available?</w:t>
            </w:r>
          </w:p>
        </w:tc>
      </w:tr>
    </w:tbl>
    <w:p>
      <w:pPr>
        <w:spacing w:after="0"/>
      </w:pPr>
    </w:p>
    <w:p>
      <w:pPr>
        <w:pStyle w:val="Heading1"/>
        <w:keepNext/>
      </w:pPr>
      <w:r>
        <w:t>Questions that must remain unresolved until evidence exists</w:t>
      </w:r>
    </w:p>
    <w:p>
      <w:pPr>
        <w:pStyle w:val="ListBullet"/>
        <w:spacing w:after="20" w:line="240" w:lineRule="auto"/>
      </w:pPr>
      <w:r>
        <w:rPr>
          <w:sz w:val="19"/>
        </w:rPr>
        <w:t>Can approved representative data be used lawfully and safely?</w:t>
      </w:r>
    </w:p>
    <w:p>
      <w:pPr>
        <w:pStyle w:val="ListBullet"/>
        <w:spacing w:after="20" w:line="240" w:lineRule="auto"/>
      </w:pPr>
      <w:r>
        <w:rPr>
          <w:sz w:val="19"/>
        </w:rPr>
        <w:t>Can the current platform support the workflow without a new vendor?</w:t>
      </w:r>
    </w:p>
    <w:p>
      <w:pPr>
        <w:pStyle w:val="ListBullet"/>
        <w:spacing w:after="20" w:line="240" w:lineRule="auto"/>
      </w:pPr>
      <w:r>
        <w:rPr>
          <w:sz w:val="19"/>
        </w:rPr>
        <w:t>Will workload fall after review, monitoring, and correction are counted?</w:t>
      </w:r>
    </w:p>
    <w:p>
      <w:pPr>
        <w:pStyle w:val="ListBullet"/>
        <w:spacing w:after="20" w:line="240" w:lineRule="auto"/>
      </w:pPr>
      <w:r>
        <w:rPr>
          <w:sz w:val="19"/>
        </w:rPr>
        <w:t>Can the organization monitor, pause, export, and exit without operational harm?</w:t>
      </w:r>
    </w:p>
    <w:p>
      <w:r>
        <w:br w:type="page"/>
      </w:r>
    </w:p>
    <w:p>
      <w:pPr>
        <w:pStyle w:val="Title"/>
        <w:spacing w:after="100"/>
      </w:pPr>
      <w:r>
        <w:rPr>
          <w:rFonts w:ascii="Calibri" w:hAnsi="Calibri"/>
          <w:b/>
          <w:color w:val="0F172A"/>
          <w:sz w:val="56"/>
        </w:rPr>
        <w:t>2. Authority, roles, and data</w:t>
      </w:r>
    </w:p>
    <w:p>
      <w:pPr>
        <w:pStyle w:val="Subtitle"/>
        <w:spacing w:after="240"/>
      </w:pPr>
      <w:r>
        <w:rPr>
          <w:rFonts w:ascii="Calibri" w:hAnsi="Calibri"/>
          <w:color w:val="0F766E"/>
          <w:sz w:val="28"/>
        </w:rPr>
        <w:t>Make control visible before evaluating product features</w:t>
      </w:r>
    </w:p>
    <w:p>
      <w:pPr>
        <w:pStyle w:val="Heading1"/>
        <w:keepNext/>
      </w:pPr>
      <w:r>
        <w:t>Authority map</w:t>
      </w:r>
    </w:p>
    <w:tbl>
      <w:tblPr>
        <w:tblStyle w:val="TableGrid"/>
        <w:tblW w:type="dxa" w:w="9360"/>
        <w:jc w:val="left"/>
        <w:tblLayout w:type="fixed"/>
        <w:tblLook w:firstColumn="1" w:firstRow="1" w:lastColumn="0" w:lastRow="0" w:noHBand="0" w:noVBand="1" w:val="04A0"/>
        <w:tblInd w:w="120" w:type="dxa"/>
      </w:tblPr>
      <w:tblGrid>
        <w:gridCol w:w="2200"/>
        <w:gridCol w:w="2500"/>
        <w:gridCol w:w="2400"/>
        <w:gridCol w:w="2260"/>
      </w:tblGrid>
      <w:tr>
        <w:trPr>
          <w:cantSplit/>
          <w:tblHeader w:val="true"/>
        </w:trPr>
        <w:tc>
          <w:tcPr>
            <w:tcW w:type="dxa" w:w="2200"/>
            <w:shd w:fill="E8EEF5"/>
            <w:tcMar>
              <w:top w:w="80" w:type="dxa"/>
              <w:start w:w="120" w:type="dxa"/>
              <w:bottom w:w="80" w:type="dxa"/>
              <w:end w:w="120" w:type="dxa"/>
            </w:tcMar>
            <w:vAlign w:val="top"/>
          </w:tcPr>
          <w:p>
            <w:r>
              <w:rPr>
                <w:b/>
                <w:color w:val="0F172A"/>
              </w:rPr>
              <w:t>Decision or action</w:t>
            </w:r>
          </w:p>
        </w:tc>
        <w:tc>
          <w:tcPr>
            <w:tcW w:type="dxa" w:w="2500"/>
            <w:shd w:fill="E8EEF5"/>
            <w:tcMar>
              <w:top w:w="80" w:type="dxa"/>
              <w:start w:w="120" w:type="dxa"/>
              <w:bottom w:w="80" w:type="dxa"/>
              <w:end w:w="120" w:type="dxa"/>
            </w:tcMar>
            <w:vAlign w:val="top"/>
          </w:tcPr>
          <w:p>
            <w:r>
              <w:rPr>
                <w:b/>
                <w:color w:val="0F172A"/>
              </w:rPr>
              <w:t>AI-assisted function</w:t>
            </w:r>
          </w:p>
        </w:tc>
        <w:tc>
          <w:tcPr>
            <w:tcW w:type="dxa" w:w="2400"/>
            <w:shd w:fill="E8EEF5"/>
            <w:tcMar>
              <w:top w:w="80" w:type="dxa"/>
              <w:start w:w="120" w:type="dxa"/>
              <w:bottom w:w="80" w:type="dxa"/>
              <w:end w:w="120" w:type="dxa"/>
            </w:tcMar>
            <w:vAlign w:val="top"/>
          </w:tcPr>
          <w:p>
            <w:r>
              <w:rPr>
                <w:b/>
                <w:color w:val="0F172A"/>
              </w:rPr>
              <w:t>Human role</w:t>
            </w:r>
          </w:p>
        </w:tc>
        <w:tc>
          <w:tcPr>
            <w:tcW w:type="dxa" w:w="2260"/>
            <w:shd w:fill="E8EEF5"/>
            <w:tcMar>
              <w:top w:w="80" w:type="dxa"/>
              <w:start w:w="120" w:type="dxa"/>
              <w:bottom w:w="80" w:type="dxa"/>
              <w:end w:w="120" w:type="dxa"/>
            </w:tcMar>
            <w:vAlign w:val="top"/>
          </w:tcPr>
          <w:p>
            <w:r>
              <w:rPr>
                <w:b/>
                <w:color w:val="0F172A"/>
              </w:rPr>
              <w:t>Evidence retained</w:t>
            </w:r>
          </w:p>
        </w:tc>
      </w:tr>
      <w:tr>
        <w:trPr>
          <w:cantSplit/>
        </w:trPr>
        <w:tc>
          <w:tcPr>
            <w:tcW w:type="dxa" w:w="2200"/>
            <w:tcMar>
              <w:top w:w="80" w:type="dxa"/>
              <w:start w:w="120" w:type="dxa"/>
              <w:bottom w:w="80" w:type="dxa"/>
              <w:end w:w="120" w:type="dxa"/>
            </w:tcMar>
            <w:vAlign w:val="top"/>
          </w:tcPr>
          <w:p>
            <w:r>
              <w:t>Recommend category and queue</w:t>
            </w:r>
          </w:p>
        </w:tc>
        <w:tc>
          <w:tcPr>
            <w:tcW w:type="dxa" w:w="2500"/>
            <w:tcMar>
              <w:top w:w="80" w:type="dxa"/>
              <w:start w:w="120" w:type="dxa"/>
              <w:bottom w:w="80" w:type="dxa"/>
              <w:end w:w="120" w:type="dxa"/>
            </w:tcMar>
            <w:vAlign w:val="top"/>
          </w:tcPr>
          <w:p>
            <w:r>
              <w:t>May recommend with confidence and cited input</w:t>
            </w:r>
          </w:p>
        </w:tc>
        <w:tc>
          <w:tcPr>
            <w:tcW w:type="dxa" w:w="2400"/>
            <w:tcMar>
              <w:top w:w="80" w:type="dxa"/>
              <w:start w:w="120" w:type="dxa"/>
              <w:bottom w:w="80" w:type="dxa"/>
              <w:end w:w="120" w:type="dxa"/>
            </w:tcMar>
            <w:vAlign w:val="top"/>
          </w:tcPr>
          <w:p>
            <w:r>
              <w:t>Service-center staff accepts, changes, or rejects</w:t>
            </w:r>
          </w:p>
        </w:tc>
        <w:tc>
          <w:tcPr>
            <w:tcW w:type="dxa" w:w="2260"/>
            <w:tcMar>
              <w:top w:w="80" w:type="dxa"/>
              <w:start w:w="120" w:type="dxa"/>
              <w:bottom w:w="80" w:type="dxa"/>
              <w:end w:w="120" w:type="dxa"/>
            </w:tcMar>
            <w:vAlign w:val="top"/>
          </w:tcPr>
          <w:p>
            <w:r>
              <w:t>Input, recommendation, confidence, reviewer action, timestamp</w:t>
            </w:r>
          </w:p>
        </w:tc>
      </w:tr>
      <w:tr>
        <w:trPr>
          <w:cantSplit/>
        </w:trPr>
        <w:tc>
          <w:tcPr>
            <w:tcW w:type="dxa" w:w="2200"/>
            <w:tcMar>
              <w:top w:w="80" w:type="dxa"/>
              <w:start w:w="120" w:type="dxa"/>
              <w:bottom w:w="80" w:type="dxa"/>
              <w:end w:w="120" w:type="dxa"/>
            </w:tcMar>
            <w:vAlign w:val="top"/>
          </w:tcPr>
          <w:p>
            <w:r>
              <w:t>Draft acknowledgment</w:t>
            </w:r>
          </w:p>
        </w:tc>
        <w:tc>
          <w:tcPr>
            <w:tcW w:type="dxa" w:w="2500"/>
            <w:tcMar>
              <w:top w:w="80" w:type="dxa"/>
              <w:start w:w="120" w:type="dxa"/>
              <w:bottom w:w="80" w:type="dxa"/>
              <w:end w:w="120" w:type="dxa"/>
            </w:tcMar>
            <w:vAlign w:val="top"/>
          </w:tcPr>
          <w:p>
            <w:r>
              <w:t>May draft from approved templates and facts</w:t>
            </w:r>
          </w:p>
        </w:tc>
        <w:tc>
          <w:tcPr>
            <w:tcW w:type="dxa" w:w="2400"/>
            <w:tcMar>
              <w:top w:w="80" w:type="dxa"/>
              <w:start w:w="120" w:type="dxa"/>
              <w:bottom w:w="80" w:type="dxa"/>
              <w:end w:w="120" w:type="dxa"/>
            </w:tcMar>
            <w:vAlign w:val="top"/>
          </w:tcPr>
          <w:p>
            <w:r>
              <w:t>Authorized staff reviews and sends</w:t>
            </w:r>
          </w:p>
        </w:tc>
        <w:tc>
          <w:tcPr>
            <w:tcW w:type="dxa" w:w="2260"/>
            <w:tcMar>
              <w:top w:w="80" w:type="dxa"/>
              <w:start w:w="120" w:type="dxa"/>
              <w:bottom w:w="80" w:type="dxa"/>
              <w:end w:w="120" w:type="dxa"/>
            </w:tcMar>
            <w:vAlign w:val="top"/>
          </w:tcPr>
          <w:p>
            <w:r>
              <w:t>Draft, edits, final text, approver, timestamp</w:t>
            </w:r>
          </w:p>
        </w:tc>
      </w:tr>
      <w:tr>
        <w:trPr>
          <w:cantSplit/>
        </w:trPr>
        <w:tc>
          <w:tcPr>
            <w:tcW w:type="dxa" w:w="2200"/>
            <w:tcMar>
              <w:top w:w="80" w:type="dxa"/>
              <w:start w:w="120" w:type="dxa"/>
              <w:bottom w:w="80" w:type="dxa"/>
              <w:end w:w="120" w:type="dxa"/>
            </w:tcMar>
            <w:vAlign w:val="top"/>
          </w:tcPr>
          <w:p>
            <w:r>
              <w:t>Change a case record</w:t>
            </w:r>
          </w:p>
        </w:tc>
        <w:tc>
          <w:tcPr>
            <w:tcW w:type="dxa" w:w="2500"/>
            <w:tcMar>
              <w:top w:w="80" w:type="dxa"/>
              <w:start w:w="120" w:type="dxa"/>
              <w:bottom w:w="80" w:type="dxa"/>
              <w:end w:w="120" w:type="dxa"/>
            </w:tcMar>
            <w:vAlign w:val="top"/>
          </w:tcPr>
          <w:p>
            <w:r>
              <w:t>Prohibited</w:t>
            </w:r>
          </w:p>
        </w:tc>
        <w:tc>
          <w:tcPr>
            <w:tcW w:type="dxa" w:w="2400"/>
            <w:tcMar>
              <w:top w:w="80" w:type="dxa"/>
              <w:start w:w="120" w:type="dxa"/>
              <w:bottom w:w="80" w:type="dxa"/>
              <w:end w:w="120" w:type="dxa"/>
            </w:tcMar>
            <w:vAlign w:val="top"/>
          </w:tcPr>
          <w:p>
            <w:r>
              <w:t>Authorized system user only</w:t>
            </w:r>
          </w:p>
        </w:tc>
        <w:tc>
          <w:tcPr>
            <w:tcW w:type="dxa" w:w="2260"/>
            <w:tcMar>
              <w:top w:w="80" w:type="dxa"/>
              <w:start w:w="120" w:type="dxa"/>
              <w:bottom w:w="80" w:type="dxa"/>
              <w:end w:w="120" w:type="dxa"/>
            </w:tcMar>
            <w:vAlign w:val="top"/>
          </w:tcPr>
          <w:p>
            <w:r>
              <w:t>System audit record</w:t>
            </w:r>
          </w:p>
        </w:tc>
      </w:tr>
      <w:tr>
        <w:trPr>
          <w:cantSplit/>
        </w:trPr>
        <w:tc>
          <w:tcPr>
            <w:tcW w:type="dxa" w:w="2200"/>
            <w:tcMar>
              <w:top w:w="80" w:type="dxa"/>
              <w:start w:w="120" w:type="dxa"/>
              <w:bottom w:w="80" w:type="dxa"/>
              <w:end w:w="120" w:type="dxa"/>
            </w:tcMar>
            <w:vAlign w:val="top"/>
          </w:tcPr>
          <w:p>
            <w:r>
              <w:t>Emergency or safety escalation</w:t>
            </w:r>
          </w:p>
        </w:tc>
        <w:tc>
          <w:tcPr>
            <w:tcW w:type="dxa" w:w="2500"/>
            <w:tcMar>
              <w:top w:w="80" w:type="dxa"/>
              <w:start w:w="120" w:type="dxa"/>
              <w:bottom w:w="80" w:type="dxa"/>
              <w:end w:w="120" w:type="dxa"/>
            </w:tcMar>
            <w:vAlign w:val="top"/>
          </w:tcPr>
          <w:p>
            <w:r>
              <w:t>May display a predefined warning only</w:t>
            </w:r>
          </w:p>
        </w:tc>
        <w:tc>
          <w:tcPr>
            <w:tcW w:type="dxa" w:w="2400"/>
            <w:tcMar>
              <w:top w:w="80" w:type="dxa"/>
              <w:start w:w="120" w:type="dxa"/>
              <w:bottom w:w="80" w:type="dxa"/>
              <w:end w:w="120" w:type="dxa"/>
            </w:tcMar>
            <w:vAlign w:val="top"/>
          </w:tcPr>
          <w:p>
            <w:r>
              <w:t>Approved emergency procedure controls the action</w:t>
            </w:r>
          </w:p>
        </w:tc>
        <w:tc>
          <w:tcPr>
            <w:tcW w:type="dxa" w:w="2260"/>
            <w:tcMar>
              <w:top w:w="80" w:type="dxa"/>
              <w:start w:w="120" w:type="dxa"/>
              <w:bottom w:w="80" w:type="dxa"/>
              <w:end w:w="120" w:type="dxa"/>
            </w:tcMar>
            <w:vAlign w:val="top"/>
          </w:tcPr>
          <w:p>
            <w:r>
              <w:t>Warning, staff response, escalation record</w:t>
            </w:r>
          </w:p>
        </w:tc>
      </w:tr>
      <w:tr>
        <w:trPr>
          <w:cantSplit/>
        </w:trPr>
        <w:tc>
          <w:tcPr>
            <w:tcW w:type="dxa" w:w="2200"/>
            <w:tcMar>
              <w:top w:w="80" w:type="dxa"/>
              <w:start w:w="120" w:type="dxa"/>
              <w:bottom w:w="80" w:type="dxa"/>
              <w:end w:w="120" w:type="dxa"/>
            </w:tcMar>
            <w:vAlign w:val="top"/>
          </w:tcPr>
          <w:p>
            <w:r>
              <w:t>Determine eligibility, enforcement, benefit, or payment</w:t>
            </w:r>
          </w:p>
        </w:tc>
        <w:tc>
          <w:tcPr>
            <w:tcW w:type="dxa" w:w="2500"/>
            <w:tcMar>
              <w:top w:w="80" w:type="dxa"/>
              <w:start w:w="120" w:type="dxa"/>
              <w:bottom w:w="80" w:type="dxa"/>
              <w:end w:w="120" w:type="dxa"/>
            </w:tcMar>
            <w:vAlign w:val="top"/>
          </w:tcPr>
          <w:p>
            <w:r>
              <w:t>Prohibited</w:t>
            </w:r>
          </w:p>
        </w:tc>
        <w:tc>
          <w:tcPr>
            <w:tcW w:type="dxa" w:w="2400"/>
            <w:tcMar>
              <w:top w:w="80" w:type="dxa"/>
              <w:start w:w="120" w:type="dxa"/>
              <w:bottom w:w="80" w:type="dxa"/>
              <w:end w:w="120" w:type="dxa"/>
            </w:tcMar>
            <w:vAlign w:val="top"/>
          </w:tcPr>
          <w:p>
            <w:r>
              <w:t>Authorized official under local policy</w:t>
            </w:r>
          </w:p>
        </w:tc>
        <w:tc>
          <w:tcPr>
            <w:tcW w:type="dxa" w:w="2260"/>
            <w:tcMar>
              <w:top w:w="80" w:type="dxa"/>
              <w:start w:w="120" w:type="dxa"/>
              <w:bottom w:w="80" w:type="dxa"/>
              <w:end w:w="120" w:type="dxa"/>
            </w:tcMar>
            <w:vAlign w:val="top"/>
          </w:tcPr>
          <w:p>
            <w:r>
              <w:t>Existing decision record</w:t>
            </w:r>
          </w:p>
        </w:tc>
      </w:tr>
      <w:tr>
        <w:trPr>
          <w:cantSplit/>
        </w:trPr>
        <w:tc>
          <w:tcPr>
            <w:tcW w:type="dxa" w:w="2200"/>
            <w:tcMar>
              <w:top w:w="80" w:type="dxa"/>
              <w:start w:w="120" w:type="dxa"/>
              <w:bottom w:w="80" w:type="dxa"/>
              <w:end w:w="120" w:type="dxa"/>
            </w:tcMar>
            <w:vAlign w:val="top"/>
          </w:tcPr>
          <w:p>
            <w:r>
              <w:t>Pause or disable the function</w:t>
            </w:r>
          </w:p>
        </w:tc>
        <w:tc>
          <w:tcPr>
            <w:tcW w:type="dxa" w:w="2500"/>
            <w:tcMar>
              <w:top w:w="80" w:type="dxa"/>
              <w:start w:w="120" w:type="dxa"/>
              <w:bottom w:w="80" w:type="dxa"/>
              <w:end w:w="120" w:type="dxa"/>
            </w:tcMar>
            <w:vAlign w:val="top"/>
          </w:tcPr>
          <w:p>
            <w:r>
              <w:t>No autonomous authority</w:t>
            </w:r>
          </w:p>
        </w:tc>
        <w:tc>
          <w:tcPr>
            <w:tcW w:type="dxa" w:w="2400"/>
            <w:tcMar>
              <w:top w:w="80" w:type="dxa"/>
              <w:start w:w="120" w:type="dxa"/>
              <w:bottom w:w="80" w:type="dxa"/>
              <w:end w:w="120" w:type="dxa"/>
            </w:tcMar>
            <w:vAlign w:val="top"/>
          </w:tcPr>
          <w:p>
            <w:r>
              <w:t>Named operational and technical owners</w:t>
            </w:r>
          </w:p>
        </w:tc>
        <w:tc>
          <w:tcPr>
            <w:tcW w:type="dxa" w:w="2260"/>
            <w:tcMar>
              <w:top w:w="80" w:type="dxa"/>
              <w:start w:w="120" w:type="dxa"/>
              <w:bottom w:w="80" w:type="dxa"/>
              <w:end w:w="120" w:type="dxa"/>
            </w:tcMar>
            <w:vAlign w:val="top"/>
          </w:tcPr>
          <w:p>
            <w:r>
              <w:t>Reason, time, scope, and restoration approval</w:t>
            </w:r>
          </w:p>
        </w:tc>
      </w:tr>
    </w:tbl>
    <w:p>
      <w:pPr>
        <w:spacing w:after="0"/>
      </w:pPr>
    </w:p>
    <w:p>
      <w:pPr>
        <w:pStyle w:val="Heading1"/>
        <w:keepNext/>
      </w:pPr>
      <w:r>
        <w:t>Minimum role coverage</w:t>
      </w:r>
    </w:p>
    <w:p>
      <w:pPr>
        <w:pStyle w:val="ListBullet"/>
      </w:pPr>
      <w:r>
        <w:t>Operational owner: defines the workflow, accepted outcomes, exceptions, and stop authority.</w:t>
      </w:r>
    </w:p>
    <w:p>
      <w:pPr>
        <w:pStyle w:val="ListBullet"/>
      </w:pPr>
      <w:r>
        <w:t>Procurement and finance: preserve competition, whole-cost visibility, evaluation integrity, and purchasing authority.</w:t>
      </w:r>
    </w:p>
    <w:p>
      <w:pPr>
        <w:pStyle w:val="ListBullet"/>
      </w:pPr>
      <w:r>
        <w:t>IT and security: verify architecture, access, logging, monitoring, incident handling, change control, and exit.</w:t>
      </w:r>
    </w:p>
    <w:p>
      <w:pPr>
        <w:pStyle w:val="ListBullet"/>
      </w:pPr>
      <w:r>
        <w:t>Privacy, records, legal, accessibility, language access, and workforce owners: review effects and applicable obligations.</w:t>
      </w:r>
    </w:p>
    <w:p>
      <w:pPr>
        <w:pStyle w:val="ListBullet"/>
      </w:pPr>
      <w:r>
        <w:t>Evaluation owner: maintains test cases, scoring evidence, deviations, and the final recommendation.</w:t>
      </w:r>
    </w:p>
    <w:p>
      <w:pPr>
        <w:pStyle w:val="Heading1"/>
        <w:keepNext/>
      </w:pPr>
      <w:r>
        <w:t>Data boundary</w:t>
      </w:r>
    </w:p>
    <w:tbl>
      <w:tblPr>
        <w:tblStyle w:val="TableGrid"/>
        <w:tblW w:type="dxa" w:w="9360"/>
        <w:jc w:val="left"/>
        <w:tblLayout w:type="fixed"/>
        <w:tblLook w:firstColumn="1" w:firstRow="1" w:lastColumn="0" w:lastRow="0" w:noHBand="0" w:noVBand="1" w:val="04A0"/>
        <w:tblInd w:w="120" w:type="dxa"/>
      </w:tblPr>
      <w:tblGrid>
        <w:gridCol w:w="4680"/>
        <w:gridCol w:w="4680"/>
      </w:tblGrid>
      <w:tr>
        <w:trPr>
          <w:cantSplit/>
          <w:tblHeader w:val="true"/>
        </w:trPr>
        <w:tc>
          <w:tcPr>
            <w:tcW w:type="dxa" w:w="4680"/>
            <w:shd w:fill="E8EEF5"/>
            <w:tcMar>
              <w:top w:w="80" w:type="dxa"/>
              <w:start w:w="120" w:type="dxa"/>
              <w:bottom w:w="80" w:type="dxa"/>
              <w:end w:w="120" w:type="dxa"/>
            </w:tcMar>
            <w:vAlign w:val="top"/>
          </w:tcPr>
          <w:p>
            <w:r>
              <w:rPr>
                <w:b/>
                <w:color w:val="0F172A"/>
              </w:rPr>
              <w:t>Allowed for the test</w:t>
            </w:r>
          </w:p>
        </w:tc>
        <w:tc>
          <w:tcPr>
            <w:tcW w:type="dxa" w:w="4680"/>
            <w:shd w:fill="E8EEF5"/>
            <w:tcMar>
              <w:top w:w="80" w:type="dxa"/>
              <w:start w:w="120" w:type="dxa"/>
              <w:bottom w:w="80" w:type="dxa"/>
              <w:end w:w="120" w:type="dxa"/>
            </w:tcMar>
            <w:vAlign w:val="top"/>
          </w:tcPr>
          <w:p>
            <w:r>
              <w:rPr>
                <w:b/>
                <w:color w:val="0F172A"/>
              </w:rPr>
              <w:t>Excluded or separately approved</w:t>
            </w:r>
          </w:p>
        </w:tc>
      </w:tr>
      <w:tr>
        <w:trPr>
          <w:cantSplit/>
        </w:trPr>
        <w:tc>
          <w:tcPr>
            <w:tcW w:type="dxa" w:w="4680"/>
            <w:tcMar>
              <w:top w:w="80" w:type="dxa"/>
              <w:start w:w="120" w:type="dxa"/>
              <w:bottom w:w="80" w:type="dxa"/>
              <w:end w:w="120" w:type="dxa"/>
            </w:tcMar>
            <w:vAlign w:val="top"/>
          </w:tcPr>
          <w:p>
            <w:r>
              <w:t>Approved representative requests; taxonomy; routing outcomes; reviewer corrections; template language; timestamps; coarse channel metadata</w:t>
            </w:r>
          </w:p>
        </w:tc>
        <w:tc>
          <w:tcPr>
            <w:tcW w:type="dxa" w:w="4680"/>
            <w:tcMar>
              <w:top w:w="80" w:type="dxa"/>
              <w:start w:w="120" w:type="dxa"/>
              <w:bottom w:w="80" w:type="dxa"/>
              <w:end w:w="120" w:type="dxa"/>
            </w:tcMar>
            <w:vAlign w:val="top"/>
          </w:tcPr>
          <w:p>
            <w:r>
              <w:t>Passwords; authentication secrets; payment data; protected student or health records; precise safety details; active investigation material; data without verified authority; vendor data not licensed for the purpose</w:t>
            </w:r>
          </w:p>
        </w:tc>
      </w:tr>
    </w:tbl>
    <w:p>
      <w:pPr>
        <w:spacing w:after="0"/>
      </w:pPr>
    </w:p>
    <w:p>
      <w:r>
        <w:br w:type="page"/>
      </w:r>
    </w:p>
    <w:p>
      <w:pPr>
        <w:pStyle w:val="Title"/>
        <w:spacing w:after="100"/>
      </w:pPr>
      <w:r>
        <w:rPr>
          <w:rFonts w:ascii="Calibri" w:hAnsi="Calibri"/>
          <w:b/>
          <w:color w:val="0F172A"/>
          <w:sz w:val="56"/>
        </w:rPr>
        <w:t>3. Draft requirements</w:t>
      </w:r>
    </w:p>
    <w:p>
      <w:pPr>
        <w:pStyle w:val="Subtitle"/>
        <w:spacing w:after="240"/>
      </w:pPr>
      <w:r>
        <w:rPr>
          <w:rFonts w:ascii="Calibri" w:hAnsi="Calibri"/>
          <w:color w:val="0F766E"/>
          <w:sz w:val="28"/>
        </w:rPr>
        <w:t>Write requirements that can be scored and accepted</w:t>
      </w:r>
    </w:p>
    <w:tbl>
      <w:tblPr>
        <w:tblStyle w:val="TableGrid"/>
        <w:tblW w:type="dxa" w:w="9360"/>
        <w:jc w:val="left"/>
        <w:tblLayout w:type="fixed"/>
        <w:tblLook w:firstColumn="1" w:firstRow="1" w:lastColumn="0" w:lastRow="0" w:noHBand="0" w:noVBand="1" w:val="04A0"/>
        <w:tblInd w:w="120" w:type="dxa"/>
      </w:tblPr>
      <w:tblGrid>
        <w:gridCol w:w="780"/>
        <w:gridCol w:w="1300"/>
        <w:gridCol w:w="4440"/>
        <w:gridCol w:w="2840"/>
      </w:tblGrid>
      <w:tr>
        <w:trPr>
          <w:cantSplit/>
          <w:tblHeader w:val="true"/>
        </w:trPr>
        <w:tc>
          <w:tcPr>
            <w:tcW w:type="dxa" w:w="780"/>
            <w:shd w:fill="E8EEF5"/>
            <w:tcMar>
              <w:top w:w="80" w:type="dxa"/>
              <w:start w:w="120" w:type="dxa"/>
              <w:bottom w:w="80" w:type="dxa"/>
              <w:end w:w="120" w:type="dxa"/>
            </w:tcMar>
            <w:vAlign w:val="top"/>
          </w:tcPr>
          <w:p>
            <w:r>
              <w:rPr>
                <w:b/>
                <w:color w:val="0F172A"/>
              </w:rPr>
              <w:t>ID</w:t>
            </w:r>
          </w:p>
        </w:tc>
        <w:tc>
          <w:tcPr>
            <w:tcW w:type="dxa" w:w="1300"/>
            <w:shd w:fill="E8EEF5"/>
            <w:tcMar>
              <w:top w:w="80" w:type="dxa"/>
              <w:start w:w="120" w:type="dxa"/>
              <w:bottom w:w="80" w:type="dxa"/>
              <w:end w:w="120" w:type="dxa"/>
            </w:tcMar>
            <w:vAlign w:val="top"/>
          </w:tcPr>
          <w:p>
            <w:r>
              <w:rPr>
                <w:b/>
                <w:color w:val="0F172A"/>
              </w:rPr>
              <w:t>Category</w:t>
            </w:r>
          </w:p>
        </w:tc>
        <w:tc>
          <w:tcPr>
            <w:tcW w:type="dxa" w:w="4440"/>
            <w:shd w:fill="E8EEF5"/>
            <w:tcMar>
              <w:top w:w="80" w:type="dxa"/>
              <w:start w:w="120" w:type="dxa"/>
              <w:bottom w:w="80" w:type="dxa"/>
              <w:end w:w="120" w:type="dxa"/>
            </w:tcMar>
            <w:vAlign w:val="top"/>
          </w:tcPr>
          <w:p>
            <w:r>
              <w:rPr>
                <w:b/>
                <w:color w:val="0F172A"/>
              </w:rPr>
              <w:t>Draft requirement</w:t>
            </w:r>
          </w:p>
        </w:tc>
        <w:tc>
          <w:tcPr>
            <w:tcW w:type="dxa" w:w="2840"/>
            <w:shd w:fill="E8EEF5"/>
            <w:tcMar>
              <w:top w:w="80" w:type="dxa"/>
              <w:start w:w="120" w:type="dxa"/>
              <w:bottom w:w="80" w:type="dxa"/>
              <w:end w:w="120" w:type="dxa"/>
            </w:tcMar>
            <w:vAlign w:val="top"/>
          </w:tcPr>
          <w:p>
            <w:r>
              <w:rPr>
                <w:b/>
                <w:color w:val="0F172A"/>
              </w:rPr>
              <w:t>Evaluation or acceptance evidence</w:t>
            </w:r>
          </w:p>
        </w:tc>
      </w:tr>
      <w:tr>
        <w:trPr>
          <w:cantSplit/>
        </w:trPr>
        <w:tc>
          <w:tcPr>
            <w:tcW w:type="dxa" w:w="780"/>
            <w:tcMar>
              <w:top w:w="80" w:type="dxa"/>
              <w:start w:w="120" w:type="dxa"/>
              <w:bottom w:w="80" w:type="dxa"/>
              <w:end w:w="120" w:type="dxa"/>
            </w:tcMar>
            <w:vAlign w:val="top"/>
          </w:tcPr>
          <w:p>
            <w:r>
              <w:t>FR-01</w:t>
            </w:r>
          </w:p>
        </w:tc>
        <w:tc>
          <w:tcPr>
            <w:tcW w:type="dxa" w:w="1300"/>
            <w:tcMar>
              <w:top w:w="80" w:type="dxa"/>
              <w:start w:w="120" w:type="dxa"/>
              <w:bottom w:w="80" w:type="dxa"/>
              <w:end w:w="120" w:type="dxa"/>
            </w:tcMar>
            <w:vAlign w:val="top"/>
          </w:tcPr>
          <w:p>
            <w:r>
              <w:t>Workflow</w:t>
            </w:r>
          </w:p>
        </w:tc>
        <w:tc>
          <w:tcPr>
            <w:tcW w:type="dxa" w:w="4440"/>
            <w:tcMar>
              <w:top w:w="80" w:type="dxa"/>
              <w:start w:w="120" w:type="dxa"/>
              <w:bottom w:w="80" w:type="dxa"/>
              <w:end w:w="120" w:type="dxa"/>
            </w:tcMar>
            <w:vAlign w:val="top"/>
          </w:tcPr>
          <w:p>
            <w:r>
              <w:t>The solution shall recommend one approved category and destination queue for each in-scope request.</w:t>
            </w:r>
          </w:p>
        </w:tc>
        <w:tc>
          <w:tcPr>
            <w:tcW w:type="dxa" w:w="2840"/>
            <w:tcMar>
              <w:top w:w="80" w:type="dxa"/>
              <w:start w:w="120" w:type="dxa"/>
              <w:bottom w:w="80" w:type="dxa"/>
              <w:end w:w="120" w:type="dxa"/>
            </w:tcMar>
            <w:vAlign w:val="top"/>
          </w:tcPr>
          <w:p>
            <w:r>
              <w:t>Demonstration on representative cases; exported result record.</w:t>
            </w:r>
          </w:p>
        </w:tc>
      </w:tr>
      <w:tr>
        <w:trPr>
          <w:cantSplit/>
        </w:trPr>
        <w:tc>
          <w:tcPr>
            <w:tcW w:type="dxa" w:w="780"/>
            <w:tcMar>
              <w:top w:w="80" w:type="dxa"/>
              <w:start w:w="120" w:type="dxa"/>
              <w:bottom w:w="80" w:type="dxa"/>
              <w:end w:w="120" w:type="dxa"/>
            </w:tcMar>
            <w:vAlign w:val="top"/>
          </w:tcPr>
          <w:p>
            <w:r>
              <w:t>FR-02</w:t>
            </w:r>
          </w:p>
        </w:tc>
        <w:tc>
          <w:tcPr>
            <w:tcW w:type="dxa" w:w="1300"/>
            <w:tcMar>
              <w:top w:w="80" w:type="dxa"/>
              <w:start w:w="120" w:type="dxa"/>
              <w:bottom w:w="80" w:type="dxa"/>
              <w:end w:w="120" w:type="dxa"/>
            </w:tcMar>
            <w:vAlign w:val="top"/>
          </w:tcPr>
          <w:p>
            <w:r>
              <w:t>Human authority</w:t>
            </w:r>
          </w:p>
        </w:tc>
        <w:tc>
          <w:tcPr>
            <w:tcW w:type="dxa" w:w="4440"/>
            <w:tcMar>
              <w:top w:w="80" w:type="dxa"/>
              <w:start w:w="120" w:type="dxa"/>
              <w:bottom w:w="80" w:type="dxa"/>
              <w:end w:w="120" w:type="dxa"/>
            </w:tcMar>
            <w:vAlign w:val="top"/>
          </w:tcPr>
          <w:p>
            <w:r>
              <w:t>The solution shall require an authorized person to accept, change, or reject every recommendation before any record or communication changes.</w:t>
            </w:r>
          </w:p>
        </w:tc>
        <w:tc>
          <w:tcPr>
            <w:tcW w:type="dxa" w:w="2840"/>
            <w:tcMar>
              <w:top w:w="80" w:type="dxa"/>
              <w:start w:w="120" w:type="dxa"/>
              <w:bottom w:w="80" w:type="dxa"/>
              <w:end w:w="120" w:type="dxa"/>
            </w:tcMar>
            <w:vAlign w:val="top"/>
          </w:tcPr>
          <w:p>
            <w:r>
              <w:t>Role-based demonstration; audit-log sample; failed-permission test.</w:t>
            </w:r>
          </w:p>
        </w:tc>
      </w:tr>
      <w:tr>
        <w:trPr>
          <w:cantSplit/>
        </w:trPr>
        <w:tc>
          <w:tcPr>
            <w:tcW w:type="dxa" w:w="780"/>
            <w:tcMar>
              <w:top w:w="80" w:type="dxa"/>
              <w:start w:w="120" w:type="dxa"/>
              <w:bottom w:w="80" w:type="dxa"/>
              <w:end w:w="120" w:type="dxa"/>
            </w:tcMar>
            <w:vAlign w:val="top"/>
          </w:tcPr>
          <w:p>
            <w:r>
              <w:t>FR-03</w:t>
            </w:r>
          </w:p>
        </w:tc>
        <w:tc>
          <w:tcPr>
            <w:tcW w:type="dxa" w:w="1300"/>
            <w:tcMar>
              <w:top w:w="80" w:type="dxa"/>
              <w:start w:w="120" w:type="dxa"/>
              <w:bottom w:w="80" w:type="dxa"/>
              <w:end w:w="120" w:type="dxa"/>
            </w:tcMar>
            <w:vAlign w:val="top"/>
          </w:tcPr>
          <w:p>
            <w:r>
              <w:t>Prohibited actions</w:t>
            </w:r>
          </w:p>
        </w:tc>
        <w:tc>
          <w:tcPr>
            <w:tcW w:type="dxa" w:w="4440"/>
            <w:tcMar>
              <w:top w:w="80" w:type="dxa"/>
              <w:start w:w="120" w:type="dxa"/>
              <w:bottom w:w="80" w:type="dxa"/>
              <w:end w:w="120" w:type="dxa"/>
            </w:tcMar>
            <w:vAlign w:val="top"/>
          </w:tcPr>
          <w:p>
            <w:r>
              <w:t>The solution shall not determine eligibility, enforcement, benefits, payment, emergency response, case disposition, or final communication.</w:t>
            </w:r>
          </w:p>
        </w:tc>
        <w:tc>
          <w:tcPr>
            <w:tcW w:type="dxa" w:w="2840"/>
            <w:tcMar>
              <w:top w:w="80" w:type="dxa"/>
              <w:start w:w="120" w:type="dxa"/>
              <w:bottom w:w="80" w:type="dxa"/>
              <w:end w:w="120" w:type="dxa"/>
            </w:tcMar>
            <w:vAlign w:val="top"/>
          </w:tcPr>
          <w:p>
            <w:r>
              <w:t>Architecture statement; negative test cases; configuration evidence.</w:t>
            </w:r>
          </w:p>
        </w:tc>
      </w:tr>
      <w:tr>
        <w:trPr>
          <w:cantSplit/>
        </w:trPr>
        <w:tc>
          <w:tcPr>
            <w:tcW w:type="dxa" w:w="780"/>
            <w:tcMar>
              <w:top w:w="80" w:type="dxa"/>
              <w:start w:w="120" w:type="dxa"/>
              <w:bottom w:w="80" w:type="dxa"/>
              <w:end w:w="120" w:type="dxa"/>
            </w:tcMar>
            <w:vAlign w:val="top"/>
          </w:tcPr>
          <w:p>
            <w:r>
              <w:t>FR-04</w:t>
            </w:r>
          </w:p>
        </w:tc>
        <w:tc>
          <w:tcPr>
            <w:tcW w:type="dxa" w:w="1300"/>
            <w:tcMar>
              <w:top w:w="80" w:type="dxa"/>
              <w:start w:w="120" w:type="dxa"/>
              <w:bottom w:w="80" w:type="dxa"/>
              <w:end w:w="120" w:type="dxa"/>
            </w:tcMar>
            <w:vAlign w:val="top"/>
          </w:tcPr>
          <w:p>
            <w:r>
              <w:t>Evidence</w:t>
            </w:r>
          </w:p>
        </w:tc>
        <w:tc>
          <w:tcPr>
            <w:tcW w:type="dxa" w:w="4440"/>
            <w:tcMar>
              <w:top w:w="80" w:type="dxa"/>
              <w:start w:w="120" w:type="dxa"/>
              <w:bottom w:w="80" w:type="dxa"/>
              <w:end w:w="120" w:type="dxa"/>
            </w:tcMar>
            <w:vAlign w:val="top"/>
          </w:tcPr>
          <w:p>
            <w:r>
              <w:t>Each recommendation shall show the source input, assigned category, destination, confidence or uncertainty signal, model or rule version, and reviewer action.</w:t>
            </w:r>
          </w:p>
        </w:tc>
        <w:tc>
          <w:tcPr>
            <w:tcW w:type="dxa" w:w="2840"/>
            <w:tcMar>
              <w:top w:w="80" w:type="dxa"/>
              <w:start w:w="120" w:type="dxa"/>
              <w:bottom w:w="80" w:type="dxa"/>
              <w:end w:w="120" w:type="dxa"/>
            </w:tcMar>
            <w:vAlign w:val="top"/>
          </w:tcPr>
          <w:p>
            <w:r>
              <w:t>Export sample; log inspection; version record.</w:t>
            </w:r>
          </w:p>
        </w:tc>
      </w:tr>
      <w:tr>
        <w:trPr>
          <w:cantSplit/>
        </w:trPr>
        <w:tc>
          <w:tcPr>
            <w:tcW w:type="dxa" w:w="780"/>
            <w:tcMar>
              <w:top w:w="80" w:type="dxa"/>
              <w:start w:w="120" w:type="dxa"/>
              <w:bottom w:w="80" w:type="dxa"/>
              <w:end w:w="120" w:type="dxa"/>
            </w:tcMar>
            <w:vAlign w:val="top"/>
          </w:tcPr>
          <w:p>
            <w:r>
              <w:t>DR-01</w:t>
            </w:r>
          </w:p>
        </w:tc>
        <w:tc>
          <w:tcPr>
            <w:tcW w:type="dxa" w:w="1300"/>
            <w:tcMar>
              <w:top w:w="80" w:type="dxa"/>
              <w:start w:w="120" w:type="dxa"/>
              <w:bottom w:w="80" w:type="dxa"/>
              <w:end w:w="120" w:type="dxa"/>
            </w:tcMar>
            <w:vAlign w:val="top"/>
          </w:tcPr>
          <w:p>
            <w:r>
              <w:t>Data rights</w:t>
            </w:r>
          </w:p>
        </w:tc>
        <w:tc>
          <w:tcPr>
            <w:tcW w:type="dxa" w:w="4440"/>
            <w:tcMar>
              <w:top w:w="80" w:type="dxa"/>
              <w:start w:w="120" w:type="dxa"/>
              <w:bottom w:w="80" w:type="dxa"/>
              <w:end w:w="120" w:type="dxa"/>
            </w:tcMar>
            <w:vAlign w:val="top"/>
          </w:tcPr>
          <w:p>
            <w:r>
              <w:t>Government data and outputs shall not be used to train shared or third-party models without explicit written authorization.</w:t>
            </w:r>
          </w:p>
        </w:tc>
        <w:tc>
          <w:tcPr>
            <w:tcW w:type="dxa" w:w="2840"/>
            <w:tcMar>
              <w:top w:w="80" w:type="dxa"/>
              <w:start w:w="120" w:type="dxa"/>
              <w:bottom w:w="80" w:type="dxa"/>
              <w:end w:w="120" w:type="dxa"/>
            </w:tcMar>
            <w:vAlign w:val="top"/>
          </w:tcPr>
          <w:p>
            <w:r>
              <w:t>Contract position; data-flow diagram; subcontractor terms.</w:t>
            </w:r>
          </w:p>
        </w:tc>
      </w:tr>
      <w:tr>
        <w:trPr>
          <w:cantSplit/>
        </w:trPr>
        <w:tc>
          <w:tcPr>
            <w:tcW w:type="dxa" w:w="780"/>
            <w:tcMar>
              <w:top w:w="80" w:type="dxa"/>
              <w:start w:w="120" w:type="dxa"/>
              <w:bottom w:w="80" w:type="dxa"/>
              <w:end w:w="120" w:type="dxa"/>
            </w:tcMar>
            <w:vAlign w:val="top"/>
          </w:tcPr>
          <w:p>
            <w:r>
              <w:t>DR-02</w:t>
            </w:r>
          </w:p>
        </w:tc>
        <w:tc>
          <w:tcPr>
            <w:tcW w:type="dxa" w:w="1300"/>
            <w:tcMar>
              <w:top w:w="80" w:type="dxa"/>
              <w:start w:w="120" w:type="dxa"/>
              <w:bottom w:w="80" w:type="dxa"/>
              <w:end w:w="120" w:type="dxa"/>
            </w:tcMar>
            <w:vAlign w:val="top"/>
          </w:tcPr>
          <w:p>
            <w:r>
              <w:t>Retention and deletion</w:t>
            </w:r>
          </w:p>
        </w:tc>
        <w:tc>
          <w:tcPr>
            <w:tcW w:type="dxa" w:w="4440"/>
            <w:tcMar>
              <w:top w:w="80" w:type="dxa"/>
              <w:start w:w="120" w:type="dxa"/>
              <w:bottom w:w="80" w:type="dxa"/>
              <w:end w:w="120" w:type="dxa"/>
            </w:tcMar>
            <w:vAlign w:val="top"/>
          </w:tcPr>
          <w:p>
            <w:r>
              <w:t>The solution shall support approved retention, deletion, legal hold, export, and access controls for all in-scope records.</w:t>
            </w:r>
          </w:p>
        </w:tc>
        <w:tc>
          <w:tcPr>
            <w:tcW w:type="dxa" w:w="2840"/>
            <w:tcMar>
              <w:top w:w="80" w:type="dxa"/>
              <w:start w:w="120" w:type="dxa"/>
              <w:bottom w:w="80" w:type="dxa"/>
              <w:end w:w="120" w:type="dxa"/>
            </w:tcMar>
            <w:vAlign w:val="top"/>
          </w:tcPr>
          <w:p>
            <w:r>
              <w:t>Configuration demonstration; deletion test; export sample.</w:t>
            </w:r>
          </w:p>
        </w:tc>
      </w:tr>
      <w:tr>
        <w:trPr>
          <w:cantSplit/>
        </w:trPr>
        <w:tc>
          <w:tcPr>
            <w:tcW w:type="dxa" w:w="780"/>
            <w:tcMar>
              <w:top w:w="80" w:type="dxa"/>
              <w:start w:w="120" w:type="dxa"/>
              <w:bottom w:w="80" w:type="dxa"/>
              <w:end w:w="120" w:type="dxa"/>
            </w:tcMar>
            <w:vAlign w:val="top"/>
          </w:tcPr>
          <w:p>
            <w:r>
              <w:t>SR-01</w:t>
            </w:r>
          </w:p>
        </w:tc>
        <w:tc>
          <w:tcPr>
            <w:tcW w:type="dxa" w:w="1300"/>
            <w:tcMar>
              <w:top w:w="80" w:type="dxa"/>
              <w:start w:w="120" w:type="dxa"/>
              <w:bottom w:w="80" w:type="dxa"/>
              <w:end w:w="120" w:type="dxa"/>
            </w:tcMar>
            <w:vAlign w:val="top"/>
          </w:tcPr>
          <w:p>
            <w:r>
              <w:t>Security</w:t>
            </w:r>
          </w:p>
        </w:tc>
        <w:tc>
          <w:tcPr>
            <w:tcW w:type="dxa" w:w="4440"/>
            <w:tcMar>
              <w:top w:w="80" w:type="dxa"/>
              <w:start w:w="120" w:type="dxa"/>
              <w:bottom w:w="80" w:type="dxa"/>
              <w:end w:w="120" w:type="dxa"/>
            </w:tcMar>
            <w:vAlign w:val="top"/>
          </w:tcPr>
          <w:p>
            <w:r>
              <w:t>The vendor shall document hosting, encryption, identity, privilege, logging, vulnerability, incident, backup, recovery, and subcontractor controls.</w:t>
            </w:r>
          </w:p>
        </w:tc>
        <w:tc>
          <w:tcPr>
            <w:tcW w:type="dxa" w:w="2840"/>
            <w:tcMar>
              <w:top w:w="80" w:type="dxa"/>
              <w:start w:w="120" w:type="dxa"/>
              <w:bottom w:w="80" w:type="dxa"/>
              <w:end w:w="120" w:type="dxa"/>
            </w:tcMar>
            <w:vAlign w:val="top"/>
          </w:tcPr>
          <w:p>
            <w:r>
              <w:t>Security response; independent evidence where available; live control demonstration.</w:t>
            </w:r>
          </w:p>
        </w:tc>
      </w:tr>
      <w:tr>
        <w:trPr>
          <w:cantSplit/>
        </w:trPr>
        <w:tc>
          <w:tcPr>
            <w:tcW w:type="dxa" w:w="780"/>
            <w:tcMar>
              <w:top w:w="80" w:type="dxa"/>
              <w:start w:w="120" w:type="dxa"/>
              <w:bottom w:w="80" w:type="dxa"/>
              <w:end w:w="120" w:type="dxa"/>
            </w:tcMar>
            <w:vAlign w:val="top"/>
          </w:tcPr>
          <w:p>
            <w:r>
              <w:t>AR-01</w:t>
            </w:r>
          </w:p>
        </w:tc>
        <w:tc>
          <w:tcPr>
            <w:tcW w:type="dxa" w:w="1300"/>
            <w:tcMar>
              <w:top w:w="80" w:type="dxa"/>
              <w:start w:w="120" w:type="dxa"/>
              <w:bottom w:w="80" w:type="dxa"/>
              <w:end w:w="120" w:type="dxa"/>
            </w:tcMar>
            <w:vAlign w:val="top"/>
          </w:tcPr>
          <w:p>
            <w:r>
              <w:t>Accessibility</w:t>
            </w:r>
          </w:p>
        </w:tc>
        <w:tc>
          <w:tcPr>
            <w:tcW w:type="dxa" w:w="4440"/>
            <w:tcMar>
              <w:top w:w="80" w:type="dxa"/>
              <w:start w:w="120" w:type="dxa"/>
              <w:bottom w:w="80" w:type="dxa"/>
              <w:end w:w="120" w:type="dxa"/>
            </w:tcMar>
            <w:vAlign w:val="top"/>
          </w:tcPr>
          <w:p>
            <w:r>
              <w:t>Administrative and public-facing functions shall meet the organization’s verified accessibility requirements and support testing with assistive technology.</w:t>
            </w:r>
          </w:p>
        </w:tc>
        <w:tc>
          <w:tcPr>
            <w:tcW w:type="dxa" w:w="2840"/>
            <w:tcMar>
              <w:top w:w="80" w:type="dxa"/>
              <w:start w:w="120" w:type="dxa"/>
              <w:bottom w:w="80" w:type="dxa"/>
              <w:end w:w="120" w:type="dxa"/>
            </w:tcMar>
            <w:vAlign w:val="top"/>
          </w:tcPr>
          <w:p>
            <w:r>
              <w:t>Accessibility conformance evidence; keyboard and assistive-technology test.</w:t>
            </w:r>
          </w:p>
        </w:tc>
      </w:tr>
      <w:tr>
        <w:trPr>
          <w:cantSplit/>
        </w:trPr>
        <w:tc>
          <w:tcPr>
            <w:tcW w:type="dxa" w:w="780"/>
            <w:tcMar>
              <w:top w:w="80" w:type="dxa"/>
              <w:start w:w="120" w:type="dxa"/>
              <w:bottom w:w="80" w:type="dxa"/>
              <w:end w:w="120" w:type="dxa"/>
            </w:tcMar>
            <w:vAlign w:val="top"/>
          </w:tcPr>
          <w:p>
            <w:r>
              <w:t>PR-01</w:t>
            </w:r>
          </w:p>
        </w:tc>
        <w:tc>
          <w:tcPr>
            <w:tcW w:type="dxa" w:w="1300"/>
            <w:tcMar>
              <w:top w:w="80" w:type="dxa"/>
              <w:start w:w="120" w:type="dxa"/>
              <w:bottom w:w="80" w:type="dxa"/>
              <w:end w:w="120" w:type="dxa"/>
            </w:tcMar>
            <w:vAlign w:val="top"/>
          </w:tcPr>
          <w:p>
            <w:r>
              <w:t>Performance</w:t>
            </w:r>
          </w:p>
        </w:tc>
        <w:tc>
          <w:tcPr>
            <w:tcW w:type="dxa" w:w="4440"/>
            <w:tcMar>
              <w:top w:w="80" w:type="dxa"/>
              <w:start w:w="120" w:type="dxa"/>
              <w:bottom w:w="80" w:type="dxa"/>
              <w:end w:w="120" w:type="dxa"/>
            </w:tcMar>
            <w:vAlign w:val="top"/>
          </w:tcPr>
          <w:p>
            <w:r>
              <w:t>The vendor shall support evaluation on organization-approved representative and failure-focused test cases before acceptance and after material changes.</w:t>
            </w:r>
          </w:p>
        </w:tc>
        <w:tc>
          <w:tcPr>
            <w:tcW w:type="dxa" w:w="2840"/>
            <w:tcMar>
              <w:top w:w="80" w:type="dxa"/>
              <w:start w:w="120" w:type="dxa"/>
              <w:bottom w:w="80" w:type="dxa"/>
              <w:end w:w="120" w:type="dxa"/>
            </w:tcMar>
            <w:vAlign w:val="top"/>
          </w:tcPr>
          <w:p>
            <w:r>
              <w:t>Evaluation plan; repeatable test export; change-trigger workflow.</w:t>
            </w:r>
          </w:p>
        </w:tc>
      </w:tr>
      <w:tr>
        <w:trPr>
          <w:cantSplit/>
        </w:trPr>
        <w:tc>
          <w:tcPr>
            <w:tcW w:type="dxa" w:w="780"/>
            <w:tcMar>
              <w:top w:w="80" w:type="dxa"/>
              <w:start w:w="120" w:type="dxa"/>
              <w:bottom w:w="80" w:type="dxa"/>
              <w:end w:w="120" w:type="dxa"/>
            </w:tcMar>
            <w:vAlign w:val="top"/>
          </w:tcPr>
          <w:p>
            <w:r>
              <w:t>CH-01</w:t>
            </w:r>
          </w:p>
        </w:tc>
        <w:tc>
          <w:tcPr>
            <w:tcW w:type="dxa" w:w="1300"/>
            <w:tcMar>
              <w:top w:w="80" w:type="dxa"/>
              <w:start w:w="120" w:type="dxa"/>
              <w:bottom w:w="80" w:type="dxa"/>
              <w:end w:w="120" w:type="dxa"/>
            </w:tcMar>
            <w:vAlign w:val="top"/>
          </w:tcPr>
          <w:p>
            <w:r>
              <w:t>Change control</w:t>
            </w:r>
          </w:p>
        </w:tc>
        <w:tc>
          <w:tcPr>
            <w:tcW w:type="dxa" w:w="4440"/>
            <w:tcMar>
              <w:top w:w="80" w:type="dxa"/>
              <w:start w:w="120" w:type="dxa"/>
              <w:bottom w:w="80" w:type="dxa"/>
              <w:end w:w="120" w:type="dxa"/>
            </w:tcMar>
            <w:vAlign w:val="top"/>
          </w:tcPr>
          <w:p>
            <w:r>
              <w:t>Material changes to models, hosting, subprocessors, features, policies, or prices shall follow documented notice, testing, approval, and rollback rules.</w:t>
            </w:r>
          </w:p>
        </w:tc>
        <w:tc>
          <w:tcPr>
            <w:tcW w:type="dxa" w:w="2840"/>
            <w:tcMar>
              <w:top w:w="80" w:type="dxa"/>
              <w:start w:w="120" w:type="dxa"/>
              <w:bottom w:w="80" w:type="dxa"/>
              <w:end w:w="120" w:type="dxa"/>
            </w:tcMar>
            <w:vAlign w:val="top"/>
          </w:tcPr>
          <w:p>
            <w:r>
              <w:t>Change policy; sample notice; rollback demonstration.</w:t>
            </w:r>
          </w:p>
        </w:tc>
      </w:tr>
      <w:tr>
        <w:trPr>
          <w:cantSplit/>
        </w:trPr>
        <w:tc>
          <w:tcPr>
            <w:tcW w:type="dxa" w:w="780"/>
            <w:tcMar>
              <w:top w:w="80" w:type="dxa"/>
              <w:start w:w="120" w:type="dxa"/>
              <w:bottom w:w="80" w:type="dxa"/>
              <w:end w:w="120" w:type="dxa"/>
            </w:tcMar>
            <w:vAlign w:val="top"/>
          </w:tcPr>
          <w:p>
            <w:r>
              <w:t>EX-01</w:t>
            </w:r>
          </w:p>
        </w:tc>
        <w:tc>
          <w:tcPr>
            <w:tcW w:type="dxa" w:w="1300"/>
            <w:tcMar>
              <w:top w:w="80" w:type="dxa"/>
              <w:start w:w="120" w:type="dxa"/>
              <w:bottom w:w="80" w:type="dxa"/>
              <w:end w:w="120" w:type="dxa"/>
            </w:tcMar>
            <w:vAlign w:val="top"/>
          </w:tcPr>
          <w:p>
            <w:r>
              <w:t>Exit</w:t>
            </w:r>
          </w:p>
        </w:tc>
        <w:tc>
          <w:tcPr>
            <w:tcW w:type="dxa" w:w="4440"/>
            <w:tcMar>
              <w:top w:w="80" w:type="dxa"/>
              <w:start w:w="120" w:type="dxa"/>
              <w:bottom w:w="80" w:type="dxa"/>
              <w:end w:w="120" w:type="dxa"/>
            </w:tcMar>
            <w:vAlign w:val="top"/>
          </w:tcPr>
          <w:p>
            <w:r>
              <w:t>The organization shall be able to export data, configurations, prompts, templates, logs, results, and documentation in usable formats within an approved time.</w:t>
            </w:r>
          </w:p>
        </w:tc>
        <w:tc>
          <w:tcPr>
            <w:tcW w:type="dxa" w:w="2840"/>
            <w:tcMar>
              <w:top w:w="80" w:type="dxa"/>
              <w:start w:w="120" w:type="dxa"/>
              <w:bottom w:w="80" w:type="dxa"/>
              <w:end w:w="120" w:type="dxa"/>
            </w:tcMar>
            <w:vAlign w:val="top"/>
          </w:tcPr>
          <w:p>
            <w:r>
              <w:t>Sample export; data dictionary; transition plan; deletion certificate process.</w:t>
            </w:r>
          </w:p>
        </w:tc>
      </w:tr>
    </w:tbl>
    <w:p>
      <w:pPr>
        <w:spacing w:after="0"/>
      </w:pP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vAlign w:val="top"/>
            <w:shd w:fill="FFF7E6"/>
          </w:tcPr>
          <w:p>
            <w:pPr>
              <w:spacing w:after="60"/>
            </w:pPr>
            <w:r>
              <w:rPr>
                <w:b/>
                <w:color w:val="1F4D78"/>
              </w:rPr>
              <w:t>Local verification required</w:t>
            </w:r>
          </w:p>
          <w:p>
            <w:pPr>
              <w:spacing w:after="0"/>
            </w:pPr>
            <w:r>
              <w:t>These are illustrative outcome and control requirements. They are not complete contract clauses and do not replace current local legal, security, privacy, accessibility, records, labor, or procurement review.</w:t>
            </w:r>
          </w:p>
        </w:tc>
      </w:tr>
    </w:tbl>
    <w:p>
      <w:pPr>
        <w:spacing w:after="0"/>
      </w:pPr>
    </w:p>
    <w:p>
      <w:r>
        <w:br w:type="page"/>
      </w:r>
    </w:p>
    <w:p>
      <w:pPr>
        <w:pStyle w:val="Title"/>
        <w:spacing w:after="100"/>
      </w:pPr>
      <w:r>
        <w:rPr>
          <w:rFonts w:ascii="Calibri" w:hAnsi="Calibri"/>
          <w:b/>
          <w:color w:val="0F172A"/>
          <w:sz w:val="56"/>
        </w:rPr>
        <w:t>4. Vendor evidence and demonstration</w:t>
      </w:r>
    </w:p>
    <w:p>
      <w:pPr>
        <w:pStyle w:val="Subtitle"/>
        <w:spacing w:after="240"/>
      </w:pPr>
      <w:r>
        <w:rPr>
          <w:rFonts w:ascii="Calibri" w:hAnsi="Calibri"/>
          <w:color w:val="0F766E"/>
          <w:sz w:val="28"/>
        </w:rPr>
        <w:t>Make the claim testable before scoring it</w:t>
      </w:r>
    </w:p>
    <w:p>
      <w:pPr>
        <w:pStyle w:val="Heading1"/>
        <w:keepNext/>
      </w:pPr>
      <w:r>
        <w:t>Evidence request</w:t>
      </w:r>
    </w:p>
    <w:p>
      <w:pPr>
        <w:pStyle w:val="ListBullet"/>
      </w:pPr>
      <w:r>
        <w:t>Describe the proposed architecture, all major components, models, hosting locations, data flows, subprocessors, and administrative dependencies.</w:t>
      </w:r>
    </w:p>
    <w:p>
      <w:pPr>
        <w:pStyle w:val="ListBullet"/>
      </w:pPr>
      <w:r>
        <w:t>Identify every action the function can take, every action prohibited by design or configuration, and the controls that preserve human approval.</w:t>
      </w:r>
    </w:p>
    <w:p>
      <w:pPr>
        <w:pStyle w:val="ListBullet"/>
      </w:pPr>
      <w:r>
        <w:t>Provide representative performance evidence, important limitations, known failure modes, and how results vary by task or affected group where relevant.</w:t>
      </w:r>
    </w:p>
    <w:p>
      <w:pPr>
        <w:pStyle w:val="ListBullet"/>
      </w:pPr>
      <w:r>
        <w:t>Provide a complete cost model for implementation, testing, usage, human review, integration, monitoring, support, material changes, export, and exit.</w:t>
      </w:r>
    </w:p>
    <w:p>
      <w:pPr>
        <w:pStyle w:val="ListBullet"/>
      </w:pPr>
      <w:r>
        <w:t>Show how administrators inspect logs, versions, reviewer corrections, incidents, access, retention, deletion, and exports.</w:t>
      </w:r>
    </w:p>
    <w:p>
      <w:pPr>
        <w:pStyle w:val="ListBullet"/>
      </w:pPr>
      <w:r>
        <w:t>Disclose the process for model, feature, hosting, subprocessor, policy, and price changes, including notice, testing, approval, and rollback.</w:t>
      </w:r>
    </w:p>
    <w:p>
      <w:pPr>
        <w:pStyle w:val="Heading1"/>
        <w:keepNext/>
      </w:pPr>
      <w:r>
        <w:t>Demonstration script</w:t>
      </w:r>
    </w:p>
    <w:tbl>
      <w:tblPr>
        <w:tblStyle w:val="TableGrid"/>
        <w:tblW w:type="dxa" w:w="9360"/>
        <w:jc w:val="left"/>
        <w:tblLayout w:type="fixed"/>
        <w:tblLook w:firstColumn="1" w:firstRow="1" w:lastColumn="0" w:lastRow="0" w:noHBand="0" w:noVBand="1" w:val="04A0"/>
        <w:tblInd w:w="120" w:type="dxa"/>
      </w:tblPr>
      <w:tblGrid>
        <w:gridCol w:w="720"/>
        <w:gridCol w:w="2600"/>
        <w:gridCol w:w="3100"/>
        <w:gridCol w:w="2940"/>
      </w:tblGrid>
      <w:tr>
        <w:trPr>
          <w:cantSplit/>
          <w:tblHeader w:val="true"/>
        </w:trPr>
        <w:tc>
          <w:tcPr>
            <w:tcW w:type="dxa" w:w="720"/>
            <w:shd w:fill="E8EEF5"/>
            <w:tcMar>
              <w:top w:w="80" w:type="dxa"/>
              <w:start w:w="120" w:type="dxa"/>
              <w:bottom w:w="80" w:type="dxa"/>
              <w:end w:w="120" w:type="dxa"/>
            </w:tcMar>
            <w:vAlign w:val="top"/>
          </w:tcPr>
          <w:p>
            <w:r>
              <w:rPr>
                <w:b/>
                <w:color w:val="0F172A"/>
              </w:rPr>
              <w:t>ID</w:t>
            </w:r>
          </w:p>
        </w:tc>
        <w:tc>
          <w:tcPr>
            <w:tcW w:type="dxa" w:w="2600"/>
            <w:shd w:fill="E8EEF5"/>
            <w:tcMar>
              <w:top w:w="80" w:type="dxa"/>
              <w:start w:w="120" w:type="dxa"/>
              <w:bottom w:w="80" w:type="dxa"/>
              <w:end w:w="120" w:type="dxa"/>
            </w:tcMar>
            <w:vAlign w:val="top"/>
          </w:tcPr>
          <w:p>
            <w:r>
              <w:rPr>
                <w:b/>
                <w:color w:val="0F172A"/>
              </w:rPr>
              <w:t>Scenario</w:t>
            </w:r>
          </w:p>
        </w:tc>
        <w:tc>
          <w:tcPr>
            <w:tcW w:type="dxa" w:w="3100"/>
            <w:shd w:fill="E8EEF5"/>
            <w:tcMar>
              <w:top w:w="80" w:type="dxa"/>
              <w:start w:w="120" w:type="dxa"/>
              <w:bottom w:w="80" w:type="dxa"/>
              <w:end w:w="120" w:type="dxa"/>
            </w:tcMar>
            <w:vAlign w:val="top"/>
          </w:tcPr>
          <w:p>
            <w:r>
              <w:rPr>
                <w:b/>
                <w:color w:val="0F172A"/>
              </w:rPr>
              <w:t>Expected evidence</w:t>
            </w:r>
          </w:p>
        </w:tc>
        <w:tc>
          <w:tcPr>
            <w:tcW w:type="dxa" w:w="2940"/>
            <w:shd w:fill="E8EEF5"/>
            <w:tcMar>
              <w:top w:w="80" w:type="dxa"/>
              <w:start w:w="120" w:type="dxa"/>
              <w:bottom w:w="80" w:type="dxa"/>
              <w:end w:w="120" w:type="dxa"/>
            </w:tcMar>
            <w:vAlign w:val="top"/>
          </w:tcPr>
          <w:p>
            <w:r>
              <w:rPr>
                <w:b/>
                <w:color w:val="0F172A"/>
              </w:rPr>
              <w:t>Failure condition</w:t>
            </w:r>
          </w:p>
        </w:tc>
      </w:tr>
      <w:tr>
        <w:trPr>
          <w:cantSplit/>
        </w:trPr>
        <w:tc>
          <w:tcPr>
            <w:tcW w:type="dxa" w:w="720"/>
            <w:tcMar>
              <w:top w:w="80" w:type="dxa"/>
              <w:start w:w="120" w:type="dxa"/>
              <w:bottom w:w="80" w:type="dxa"/>
              <w:end w:w="120" w:type="dxa"/>
            </w:tcMar>
            <w:vAlign w:val="top"/>
          </w:tcPr>
          <w:p>
            <w:r>
              <w:t>D-01</w:t>
            </w:r>
          </w:p>
        </w:tc>
        <w:tc>
          <w:tcPr>
            <w:tcW w:type="dxa" w:w="2600"/>
            <w:tcMar>
              <w:top w:w="80" w:type="dxa"/>
              <w:start w:w="120" w:type="dxa"/>
              <w:bottom w:w="80" w:type="dxa"/>
              <w:end w:w="120" w:type="dxa"/>
            </w:tcMar>
            <w:vAlign w:val="top"/>
          </w:tcPr>
          <w:p>
            <w:r>
              <w:t>Routine request with clear routing</w:t>
            </w:r>
          </w:p>
        </w:tc>
        <w:tc>
          <w:tcPr>
            <w:tcW w:type="dxa" w:w="3100"/>
            <w:tcMar>
              <w:top w:w="80" w:type="dxa"/>
              <w:start w:w="120" w:type="dxa"/>
              <w:bottom w:w="80" w:type="dxa"/>
              <w:end w:w="120" w:type="dxa"/>
            </w:tcMar>
            <w:vAlign w:val="top"/>
          </w:tcPr>
          <w:p>
            <w:r>
              <w:t>Recommend the correct approved queue and draft a factual acknowledgment.</w:t>
            </w:r>
          </w:p>
        </w:tc>
        <w:tc>
          <w:tcPr>
            <w:tcW w:type="dxa" w:w="2940"/>
            <w:tcMar>
              <w:top w:w="80" w:type="dxa"/>
              <w:start w:w="120" w:type="dxa"/>
              <w:bottom w:w="80" w:type="dxa"/>
              <w:end w:w="120" w:type="dxa"/>
            </w:tcMar>
            <w:vAlign w:val="top"/>
          </w:tcPr>
          <w:p>
            <w:r>
              <w:t>Wrong queue; unsupported facts; record change before approval.</w:t>
            </w:r>
          </w:p>
        </w:tc>
      </w:tr>
      <w:tr>
        <w:trPr>
          <w:cantSplit/>
        </w:trPr>
        <w:tc>
          <w:tcPr>
            <w:tcW w:type="dxa" w:w="720"/>
            <w:tcMar>
              <w:top w:w="80" w:type="dxa"/>
              <w:start w:w="120" w:type="dxa"/>
              <w:bottom w:w="80" w:type="dxa"/>
              <w:end w:w="120" w:type="dxa"/>
            </w:tcMar>
            <w:vAlign w:val="top"/>
          </w:tcPr>
          <w:p>
            <w:r>
              <w:t>D-02</w:t>
            </w:r>
          </w:p>
        </w:tc>
        <w:tc>
          <w:tcPr>
            <w:tcW w:type="dxa" w:w="2600"/>
            <w:tcMar>
              <w:top w:w="80" w:type="dxa"/>
              <w:start w:w="120" w:type="dxa"/>
              <w:bottom w:w="80" w:type="dxa"/>
              <w:end w:w="120" w:type="dxa"/>
            </w:tcMar>
            <w:vAlign w:val="top"/>
          </w:tcPr>
          <w:p>
            <w:r>
              <w:t>Ambiguous request</w:t>
            </w:r>
          </w:p>
        </w:tc>
        <w:tc>
          <w:tcPr>
            <w:tcW w:type="dxa" w:w="3100"/>
            <w:tcMar>
              <w:top w:w="80" w:type="dxa"/>
              <w:start w:w="120" w:type="dxa"/>
              <w:bottom w:w="80" w:type="dxa"/>
              <w:end w:w="120" w:type="dxa"/>
            </w:tcMar>
            <w:vAlign w:val="top"/>
          </w:tcPr>
          <w:p>
            <w:r>
              <w:t>Show uncertainty, explain the basis, and require human selection.</w:t>
            </w:r>
          </w:p>
        </w:tc>
        <w:tc>
          <w:tcPr>
            <w:tcW w:type="dxa" w:w="2940"/>
            <w:tcMar>
              <w:top w:w="80" w:type="dxa"/>
              <w:start w:w="120" w:type="dxa"/>
              <w:bottom w:w="80" w:type="dxa"/>
              <w:end w:w="120" w:type="dxa"/>
            </w:tcMar>
            <w:vAlign w:val="top"/>
          </w:tcPr>
          <w:p>
            <w:r>
              <w:t>False certainty; invented category; no review record.</w:t>
            </w:r>
          </w:p>
        </w:tc>
      </w:tr>
      <w:tr>
        <w:trPr>
          <w:cantSplit/>
        </w:trPr>
        <w:tc>
          <w:tcPr>
            <w:tcW w:type="dxa" w:w="720"/>
            <w:tcMar>
              <w:top w:w="80" w:type="dxa"/>
              <w:start w:w="120" w:type="dxa"/>
              <w:bottom w:w="80" w:type="dxa"/>
              <w:end w:w="120" w:type="dxa"/>
            </w:tcMar>
            <w:vAlign w:val="top"/>
          </w:tcPr>
          <w:p>
            <w:r>
              <w:t>D-03</w:t>
            </w:r>
          </w:p>
        </w:tc>
        <w:tc>
          <w:tcPr>
            <w:tcW w:type="dxa" w:w="2600"/>
            <w:tcMar>
              <w:top w:w="80" w:type="dxa"/>
              <w:start w:w="120" w:type="dxa"/>
              <w:bottom w:w="80" w:type="dxa"/>
              <w:end w:w="120" w:type="dxa"/>
            </w:tcMar>
            <w:vAlign w:val="top"/>
          </w:tcPr>
          <w:p>
            <w:r>
              <w:t>Emergency language</w:t>
            </w:r>
          </w:p>
        </w:tc>
        <w:tc>
          <w:tcPr>
            <w:tcW w:type="dxa" w:w="3100"/>
            <w:tcMar>
              <w:top w:w="80" w:type="dxa"/>
              <w:start w:w="120" w:type="dxa"/>
              <w:bottom w:w="80" w:type="dxa"/>
              <w:end w:w="120" w:type="dxa"/>
            </w:tcMar>
            <w:vAlign w:val="top"/>
          </w:tcPr>
          <w:p>
            <w:r>
              <w:t>Display the approved warning and preserve the human emergency procedure.</w:t>
            </w:r>
          </w:p>
        </w:tc>
        <w:tc>
          <w:tcPr>
            <w:tcW w:type="dxa" w:w="2940"/>
            <w:tcMar>
              <w:top w:w="80" w:type="dxa"/>
              <w:start w:w="120" w:type="dxa"/>
              <w:bottom w:w="80" w:type="dxa"/>
              <w:end w:w="120" w:type="dxa"/>
            </w:tcMar>
            <w:vAlign w:val="top"/>
          </w:tcPr>
          <w:p>
            <w:r>
              <w:t>Autonomous emergency determination or delayed warning.</w:t>
            </w:r>
          </w:p>
        </w:tc>
      </w:tr>
      <w:tr>
        <w:trPr>
          <w:cantSplit/>
        </w:trPr>
        <w:tc>
          <w:tcPr>
            <w:tcW w:type="dxa" w:w="720"/>
            <w:tcMar>
              <w:top w:w="80" w:type="dxa"/>
              <w:start w:w="120" w:type="dxa"/>
              <w:bottom w:w="80" w:type="dxa"/>
              <w:end w:w="120" w:type="dxa"/>
            </w:tcMar>
            <w:vAlign w:val="top"/>
          </w:tcPr>
          <w:p>
            <w:r>
              <w:t>D-04</w:t>
            </w:r>
          </w:p>
        </w:tc>
        <w:tc>
          <w:tcPr>
            <w:tcW w:type="dxa" w:w="2600"/>
            <w:tcMar>
              <w:top w:w="80" w:type="dxa"/>
              <w:start w:w="120" w:type="dxa"/>
              <w:bottom w:w="80" w:type="dxa"/>
              <w:end w:w="120" w:type="dxa"/>
            </w:tcMar>
            <w:vAlign w:val="top"/>
          </w:tcPr>
          <w:p>
            <w:r>
              <w:t>Request containing prohibited data</w:t>
            </w:r>
          </w:p>
        </w:tc>
        <w:tc>
          <w:tcPr>
            <w:tcW w:type="dxa" w:w="3100"/>
            <w:tcMar>
              <w:top w:w="80" w:type="dxa"/>
              <w:start w:w="120" w:type="dxa"/>
              <w:bottom w:w="80" w:type="dxa"/>
              <w:end w:w="120" w:type="dxa"/>
            </w:tcMar>
            <w:vAlign w:val="top"/>
          </w:tcPr>
          <w:p>
            <w:r>
              <w:t>Apply the approved handling rule and prevent unauthorized processing or retention.</w:t>
            </w:r>
          </w:p>
        </w:tc>
        <w:tc>
          <w:tcPr>
            <w:tcW w:type="dxa" w:w="2940"/>
            <w:tcMar>
              <w:top w:w="80" w:type="dxa"/>
              <w:start w:w="120" w:type="dxa"/>
              <w:bottom w:w="80" w:type="dxa"/>
              <w:end w:w="120" w:type="dxa"/>
            </w:tcMar>
            <w:vAlign w:val="top"/>
          </w:tcPr>
          <w:p>
            <w:r>
              <w:t>Silent ingestion, training use, or uncontrolled logging.</w:t>
            </w:r>
          </w:p>
        </w:tc>
      </w:tr>
      <w:tr>
        <w:trPr>
          <w:cantSplit/>
        </w:trPr>
        <w:tc>
          <w:tcPr>
            <w:tcW w:type="dxa" w:w="720"/>
            <w:tcMar>
              <w:top w:w="80" w:type="dxa"/>
              <w:start w:w="120" w:type="dxa"/>
              <w:bottom w:w="80" w:type="dxa"/>
              <w:end w:w="120" w:type="dxa"/>
            </w:tcMar>
            <w:vAlign w:val="top"/>
          </w:tcPr>
          <w:p>
            <w:r>
              <w:t>D-05</w:t>
            </w:r>
          </w:p>
        </w:tc>
        <w:tc>
          <w:tcPr>
            <w:tcW w:type="dxa" w:w="2600"/>
            <w:tcMar>
              <w:top w:w="80" w:type="dxa"/>
              <w:start w:w="120" w:type="dxa"/>
              <w:bottom w:w="80" w:type="dxa"/>
              <w:end w:w="120" w:type="dxa"/>
            </w:tcMar>
            <w:vAlign w:val="top"/>
          </w:tcPr>
          <w:p>
            <w:r>
              <w:t>Unauthorized user</w:t>
            </w:r>
          </w:p>
        </w:tc>
        <w:tc>
          <w:tcPr>
            <w:tcW w:type="dxa" w:w="3100"/>
            <w:tcMar>
              <w:top w:w="80" w:type="dxa"/>
              <w:start w:w="120" w:type="dxa"/>
              <w:bottom w:w="80" w:type="dxa"/>
              <w:end w:w="120" w:type="dxa"/>
            </w:tcMar>
            <w:vAlign w:val="top"/>
          </w:tcPr>
          <w:p>
            <w:r>
              <w:t>Deny approval, configuration, export, and deletion actions.</w:t>
            </w:r>
          </w:p>
        </w:tc>
        <w:tc>
          <w:tcPr>
            <w:tcW w:type="dxa" w:w="2940"/>
            <w:tcMar>
              <w:top w:w="80" w:type="dxa"/>
              <w:start w:w="120" w:type="dxa"/>
              <w:bottom w:w="80" w:type="dxa"/>
              <w:end w:w="120" w:type="dxa"/>
            </w:tcMar>
            <w:vAlign w:val="top"/>
          </w:tcPr>
          <w:p>
            <w:r>
              <w:t>Privilege bypass or incomplete audit record.</w:t>
            </w:r>
          </w:p>
        </w:tc>
      </w:tr>
      <w:tr>
        <w:trPr>
          <w:cantSplit/>
        </w:trPr>
        <w:tc>
          <w:tcPr>
            <w:tcW w:type="dxa" w:w="720"/>
            <w:tcMar>
              <w:top w:w="80" w:type="dxa"/>
              <w:start w:w="120" w:type="dxa"/>
              <w:bottom w:w="80" w:type="dxa"/>
              <w:end w:w="120" w:type="dxa"/>
            </w:tcMar>
            <w:vAlign w:val="top"/>
          </w:tcPr>
          <w:p>
            <w:r>
              <w:t>D-06</w:t>
            </w:r>
          </w:p>
        </w:tc>
        <w:tc>
          <w:tcPr>
            <w:tcW w:type="dxa" w:w="2600"/>
            <w:tcMar>
              <w:top w:w="80" w:type="dxa"/>
              <w:start w:w="120" w:type="dxa"/>
              <w:bottom w:w="80" w:type="dxa"/>
              <w:end w:w="120" w:type="dxa"/>
            </w:tcMar>
            <w:vAlign w:val="top"/>
          </w:tcPr>
          <w:p>
            <w:r>
              <w:t>Material model change</w:t>
            </w:r>
          </w:p>
        </w:tc>
        <w:tc>
          <w:tcPr>
            <w:tcW w:type="dxa" w:w="3100"/>
            <w:tcMar>
              <w:top w:w="80" w:type="dxa"/>
              <w:start w:w="120" w:type="dxa"/>
              <w:bottom w:w="80" w:type="dxa"/>
              <w:end w:w="120" w:type="dxa"/>
            </w:tcMar>
            <w:vAlign w:val="top"/>
          </w:tcPr>
          <w:p>
            <w:r>
              <w:t>Show notice, version record, test gate, approval, and rollback.</w:t>
            </w:r>
          </w:p>
        </w:tc>
        <w:tc>
          <w:tcPr>
            <w:tcW w:type="dxa" w:w="2940"/>
            <w:tcMar>
              <w:top w:w="80" w:type="dxa"/>
              <w:start w:w="120" w:type="dxa"/>
              <w:bottom w:w="80" w:type="dxa"/>
              <w:end w:w="120" w:type="dxa"/>
            </w:tcMar>
            <w:vAlign w:val="top"/>
          </w:tcPr>
          <w:p>
            <w:r>
              <w:t>Undisclosed change or no practical rollback.</w:t>
            </w:r>
          </w:p>
        </w:tc>
      </w:tr>
      <w:tr>
        <w:trPr>
          <w:cantSplit/>
        </w:trPr>
        <w:tc>
          <w:tcPr>
            <w:tcW w:type="dxa" w:w="720"/>
            <w:tcMar>
              <w:top w:w="80" w:type="dxa"/>
              <w:start w:w="120" w:type="dxa"/>
              <w:bottom w:w="80" w:type="dxa"/>
              <w:end w:w="120" w:type="dxa"/>
            </w:tcMar>
            <w:vAlign w:val="top"/>
          </w:tcPr>
          <w:p>
            <w:r>
              <w:t>D-07</w:t>
            </w:r>
          </w:p>
        </w:tc>
        <w:tc>
          <w:tcPr>
            <w:tcW w:type="dxa" w:w="2600"/>
            <w:tcMar>
              <w:top w:w="80" w:type="dxa"/>
              <w:start w:w="120" w:type="dxa"/>
              <w:bottom w:w="80" w:type="dxa"/>
              <w:end w:w="120" w:type="dxa"/>
            </w:tcMar>
            <w:vAlign w:val="top"/>
          </w:tcPr>
          <w:p>
            <w:r>
              <w:t>Exit request</w:t>
            </w:r>
          </w:p>
        </w:tc>
        <w:tc>
          <w:tcPr>
            <w:tcW w:type="dxa" w:w="3100"/>
            <w:tcMar>
              <w:top w:w="80" w:type="dxa"/>
              <w:start w:w="120" w:type="dxa"/>
              <w:bottom w:w="80" w:type="dxa"/>
              <w:end w:w="120" w:type="dxa"/>
            </w:tcMar>
            <w:vAlign w:val="top"/>
          </w:tcPr>
          <w:p>
            <w:r>
              <w:t>Export the required artifacts in documented usable formats.</w:t>
            </w:r>
          </w:p>
        </w:tc>
        <w:tc>
          <w:tcPr>
            <w:tcW w:type="dxa" w:w="2940"/>
            <w:tcMar>
              <w:top w:w="80" w:type="dxa"/>
              <w:start w:w="120" w:type="dxa"/>
              <w:bottom w:w="80" w:type="dxa"/>
              <w:end w:w="120" w:type="dxa"/>
            </w:tcMar>
            <w:vAlign w:val="top"/>
          </w:tcPr>
          <w:p>
            <w:r>
              <w:t>Incomplete, unreadable, delayed, or vendor-dependent export.</w:t>
            </w:r>
          </w:p>
        </w:tc>
      </w:tr>
    </w:tbl>
    <w:p>
      <w:pPr>
        <w:spacing w:after="0"/>
      </w:pPr>
    </w:p>
    <w:p>
      <w:r>
        <w:br w:type="page"/>
      </w:r>
    </w:p>
    <w:p>
      <w:pPr>
        <w:pStyle w:val="Title"/>
        <w:spacing w:after="100"/>
      </w:pPr>
      <w:r>
        <w:rPr>
          <w:rFonts w:ascii="Calibri" w:hAnsi="Calibri"/>
          <w:b/>
          <w:color w:val="0F172A"/>
          <w:sz w:val="56"/>
        </w:rPr>
        <w:t>5. Evaluation framework</w:t>
      </w:r>
    </w:p>
    <w:p>
      <w:pPr>
        <w:pStyle w:val="Subtitle"/>
        <w:spacing w:after="240"/>
      </w:pPr>
      <w:r>
        <w:rPr>
          <w:rFonts w:ascii="Calibri" w:hAnsi="Calibri"/>
          <w:color w:val="0F766E"/>
          <w:sz w:val="28"/>
        </w:rPr>
        <w:t>Use weighted evidence and mandatory gates</w:t>
      </w:r>
    </w:p>
    <w:tbl>
      <w:tblPr>
        <w:tblStyle w:val="TableGrid"/>
        <w:tblW w:type="dxa" w:w="9360"/>
        <w:jc w:val="left"/>
        <w:tblLayout w:type="fixed"/>
        <w:tblLook w:firstColumn="1" w:firstRow="1" w:lastColumn="0" w:lastRow="0" w:noHBand="0" w:noVBand="1" w:val="04A0"/>
        <w:tblInd w:w="120" w:type="dxa"/>
      </w:tblPr>
      <w:tblGrid>
        <w:gridCol w:w="4300"/>
        <w:gridCol w:w="1000"/>
        <w:gridCol w:w="4060"/>
      </w:tblGrid>
      <w:tr>
        <w:trPr>
          <w:cantSplit/>
          <w:tblHeader w:val="true"/>
        </w:trPr>
        <w:tc>
          <w:tcPr>
            <w:tcW w:type="dxa" w:w="4300"/>
            <w:shd w:fill="E8EEF5"/>
            <w:tcMar>
              <w:top w:w="80" w:type="dxa"/>
              <w:start w:w="120" w:type="dxa"/>
              <w:bottom w:w="80" w:type="dxa"/>
              <w:end w:w="120" w:type="dxa"/>
            </w:tcMar>
            <w:vAlign w:val="top"/>
          </w:tcPr>
          <w:p>
            <w:r>
              <w:rPr>
                <w:b/>
                <w:color w:val="0F172A"/>
              </w:rPr>
              <w:t>Criterion</w:t>
            </w:r>
          </w:p>
        </w:tc>
        <w:tc>
          <w:tcPr>
            <w:tcW w:type="dxa" w:w="1000"/>
            <w:shd w:fill="E8EEF5"/>
            <w:tcMar>
              <w:top w:w="80" w:type="dxa"/>
              <w:start w:w="120" w:type="dxa"/>
              <w:bottom w:w="80" w:type="dxa"/>
              <w:end w:w="120" w:type="dxa"/>
            </w:tcMar>
            <w:vAlign w:val="top"/>
          </w:tcPr>
          <w:p>
            <w:r>
              <w:rPr>
                <w:b/>
                <w:color w:val="0F172A"/>
              </w:rPr>
              <w:t>Weight</w:t>
            </w:r>
          </w:p>
        </w:tc>
        <w:tc>
          <w:tcPr>
            <w:tcW w:type="dxa" w:w="4060"/>
            <w:shd w:fill="E8EEF5"/>
            <w:tcMar>
              <w:top w:w="80" w:type="dxa"/>
              <w:start w:w="120" w:type="dxa"/>
              <w:bottom w:w="80" w:type="dxa"/>
              <w:end w:w="120" w:type="dxa"/>
            </w:tcMar>
            <w:vAlign w:val="top"/>
          </w:tcPr>
          <w:p>
            <w:r>
              <w:rPr>
                <w:b/>
                <w:color w:val="0F172A"/>
              </w:rPr>
              <w:t>What earns a strong score</w:t>
            </w:r>
          </w:p>
        </w:tc>
      </w:tr>
      <w:tr>
        <w:trPr>
          <w:cantSplit/>
        </w:trPr>
        <w:tc>
          <w:tcPr>
            <w:tcW w:type="dxa" w:w="4300"/>
            <w:tcMar>
              <w:top w:w="80" w:type="dxa"/>
              <w:start w:w="120" w:type="dxa"/>
              <w:bottom w:w="80" w:type="dxa"/>
              <w:end w:w="120" w:type="dxa"/>
            </w:tcMar>
            <w:vAlign w:val="top"/>
          </w:tcPr>
          <w:p>
            <w:r>
              <w:t>Operational fit and usability</w:t>
            </w:r>
          </w:p>
        </w:tc>
        <w:tc>
          <w:tcPr>
            <w:tcW w:type="dxa" w:w="1000"/>
            <w:tcMar>
              <w:top w:w="80" w:type="dxa"/>
              <w:start w:w="120" w:type="dxa"/>
              <w:bottom w:w="80" w:type="dxa"/>
              <w:end w:w="120" w:type="dxa"/>
            </w:tcMar>
            <w:vAlign w:val="top"/>
          </w:tcPr>
          <w:p>
            <w:r>
              <w:t>20%</w:t>
            </w:r>
          </w:p>
        </w:tc>
        <w:tc>
          <w:tcPr>
            <w:tcW w:type="dxa" w:w="4060"/>
            <w:tcMar>
              <w:top w:w="80" w:type="dxa"/>
              <w:start w:w="120" w:type="dxa"/>
              <w:bottom w:w="80" w:type="dxa"/>
              <w:end w:w="120" w:type="dxa"/>
            </w:tcMar>
            <w:vAlign w:val="top"/>
          </w:tcPr>
          <w:p>
            <w:r>
              <w:t>Works in the actual queue, role, exception, accessibility, and workload context.</w:t>
            </w:r>
          </w:p>
        </w:tc>
      </w:tr>
      <w:tr>
        <w:trPr>
          <w:cantSplit/>
        </w:trPr>
        <w:tc>
          <w:tcPr>
            <w:tcW w:type="dxa" w:w="4300"/>
            <w:tcMar>
              <w:top w:w="80" w:type="dxa"/>
              <w:start w:w="120" w:type="dxa"/>
              <w:bottom w:w="80" w:type="dxa"/>
              <w:end w:w="120" w:type="dxa"/>
            </w:tcMar>
            <w:vAlign w:val="top"/>
          </w:tcPr>
          <w:p>
            <w:r>
              <w:t>Human authority and safeguards</w:t>
            </w:r>
          </w:p>
        </w:tc>
        <w:tc>
          <w:tcPr>
            <w:tcW w:type="dxa" w:w="1000"/>
            <w:tcMar>
              <w:top w:w="80" w:type="dxa"/>
              <w:start w:w="120" w:type="dxa"/>
              <w:bottom w:w="80" w:type="dxa"/>
              <w:end w:w="120" w:type="dxa"/>
            </w:tcMar>
            <w:vAlign w:val="top"/>
          </w:tcPr>
          <w:p>
            <w:r>
              <w:t>20%</w:t>
            </w:r>
          </w:p>
        </w:tc>
        <w:tc>
          <w:tcPr>
            <w:tcW w:type="dxa" w:w="4060"/>
            <w:tcMar>
              <w:top w:w="80" w:type="dxa"/>
              <w:start w:w="120" w:type="dxa"/>
              <w:bottom w:w="80" w:type="dxa"/>
              <w:end w:w="120" w:type="dxa"/>
            </w:tcMar>
            <w:vAlign w:val="top"/>
          </w:tcPr>
          <w:p>
            <w:r>
              <w:t>Makes prohibited actions, approval, override, pause, and audit controls testable.</w:t>
            </w:r>
          </w:p>
        </w:tc>
      </w:tr>
      <w:tr>
        <w:trPr>
          <w:cantSplit/>
        </w:trPr>
        <w:tc>
          <w:tcPr>
            <w:tcW w:type="dxa" w:w="4300"/>
            <w:tcMar>
              <w:top w:w="80" w:type="dxa"/>
              <w:start w:w="120" w:type="dxa"/>
              <w:bottom w:w="80" w:type="dxa"/>
              <w:end w:w="120" w:type="dxa"/>
            </w:tcMar>
            <w:vAlign w:val="top"/>
          </w:tcPr>
          <w:p>
            <w:r>
              <w:t>Performance and evaluation</w:t>
            </w:r>
          </w:p>
        </w:tc>
        <w:tc>
          <w:tcPr>
            <w:tcW w:type="dxa" w:w="1000"/>
            <w:tcMar>
              <w:top w:w="80" w:type="dxa"/>
              <w:start w:w="120" w:type="dxa"/>
              <w:bottom w:w="80" w:type="dxa"/>
              <w:end w:w="120" w:type="dxa"/>
            </w:tcMar>
            <w:vAlign w:val="top"/>
          </w:tcPr>
          <w:p>
            <w:r>
              <w:t>20%</w:t>
            </w:r>
          </w:p>
        </w:tc>
        <w:tc>
          <w:tcPr>
            <w:tcW w:type="dxa" w:w="4060"/>
            <w:tcMar>
              <w:top w:w="80" w:type="dxa"/>
              <w:start w:w="120" w:type="dxa"/>
              <w:bottom w:w="80" w:type="dxa"/>
              <w:end w:w="120" w:type="dxa"/>
            </w:tcMar>
            <w:vAlign w:val="top"/>
          </w:tcPr>
          <w:p>
            <w:r>
              <w:t>Produces repeatable evidence on representative and failure-focused cases.</w:t>
            </w:r>
          </w:p>
        </w:tc>
      </w:tr>
      <w:tr>
        <w:trPr>
          <w:cantSplit/>
        </w:trPr>
        <w:tc>
          <w:tcPr>
            <w:tcW w:type="dxa" w:w="4300"/>
            <w:tcMar>
              <w:top w:w="80" w:type="dxa"/>
              <w:start w:w="120" w:type="dxa"/>
              <w:bottom w:w="80" w:type="dxa"/>
              <w:end w:w="120" w:type="dxa"/>
            </w:tcMar>
            <w:vAlign w:val="top"/>
          </w:tcPr>
          <w:p>
            <w:r>
              <w:t>Data, security, privacy, and records</w:t>
            </w:r>
          </w:p>
        </w:tc>
        <w:tc>
          <w:tcPr>
            <w:tcW w:type="dxa" w:w="1000"/>
            <w:tcMar>
              <w:top w:w="80" w:type="dxa"/>
              <w:start w:w="120" w:type="dxa"/>
              <w:bottom w:w="80" w:type="dxa"/>
              <w:end w:w="120" w:type="dxa"/>
            </w:tcMar>
            <w:vAlign w:val="top"/>
          </w:tcPr>
          <w:p>
            <w:r>
              <w:t>15%</w:t>
            </w:r>
          </w:p>
        </w:tc>
        <w:tc>
          <w:tcPr>
            <w:tcW w:type="dxa" w:w="4060"/>
            <w:tcMar>
              <w:top w:w="80" w:type="dxa"/>
              <w:start w:w="120" w:type="dxa"/>
              <w:bottom w:w="80" w:type="dxa"/>
              <w:end w:w="120" w:type="dxa"/>
            </w:tcMar>
            <w:vAlign w:val="top"/>
          </w:tcPr>
          <w:p>
            <w:r>
              <w:t>Documents and demonstrates the approved data boundary and life-cycle controls.</w:t>
            </w:r>
          </w:p>
        </w:tc>
      </w:tr>
      <w:tr>
        <w:trPr>
          <w:cantSplit/>
        </w:trPr>
        <w:tc>
          <w:tcPr>
            <w:tcW w:type="dxa" w:w="4300"/>
            <w:tcMar>
              <w:top w:w="80" w:type="dxa"/>
              <w:start w:w="120" w:type="dxa"/>
              <w:bottom w:w="80" w:type="dxa"/>
              <w:end w:w="120" w:type="dxa"/>
            </w:tcMar>
            <w:vAlign w:val="top"/>
          </w:tcPr>
          <w:p>
            <w:r>
              <w:t>Implementation and interoperability</w:t>
            </w:r>
          </w:p>
        </w:tc>
        <w:tc>
          <w:tcPr>
            <w:tcW w:type="dxa" w:w="1000"/>
            <w:tcMar>
              <w:top w:w="80" w:type="dxa"/>
              <w:start w:w="120" w:type="dxa"/>
              <w:bottom w:w="80" w:type="dxa"/>
              <w:end w:w="120" w:type="dxa"/>
            </w:tcMar>
            <w:vAlign w:val="top"/>
          </w:tcPr>
          <w:p>
            <w:r>
              <w:t>10%</w:t>
            </w:r>
          </w:p>
        </w:tc>
        <w:tc>
          <w:tcPr>
            <w:tcW w:type="dxa" w:w="4060"/>
            <w:tcMar>
              <w:top w:w="80" w:type="dxa"/>
              <w:start w:w="120" w:type="dxa"/>
              <w:bottom w:w="80" w:type="dxa"/>
              <w:end w:w="120" w:type="dxa"/>
            </w:tcMar>
            <w:vAlign w:val="top"/>
          </w:tcPr>
          <w:p>
            <w:r>
              <w:t>Uses feasible integrations, exports, administration, and support without hidden dependencies.</w:t>
            </w:r>
          </w:p>
        </w:tc>
      </w:tr>
      <w:tr>
        <w:trPr>
          <w:cantSplit/>
        </w:trPr>
        <w:tc>
          <w:tcPr>
            <w:tcW w:type="dxa" w:w="4300"/>
            <w:tcMar>
              <w:top w:w="80" w:type="dxa"/>
              <w:start w:w="120" w:type="dxa"/>
              <w:bottom w:w="80" w:type="dxa"/>
              <w:end w:w="120" w:type="dxa"/>
            </w:tcMar>
            <w:vAlign w:val="top"/>
          </w:tcPr>
          <w:p>
            <w:r>
              <w:t>Whole-life cost and pricing clarity</w:t>
            </w:r>
          </w:p>
        </w:tc>
        <w:tc>
          <w:tcPr>
            <w:tcW w:type="dxa" w:w="1000"/>
            <w:tcMar>
              <w:top w:w="80" w:type="dxa"/>
              <w:start w:w="120" w:type="dxa"/>
              <w:bottom w:w="80" w:type="dxa"/>
              <w:end w:w="120" w:type="dxa"/>
            </w:tcMar>
            <w:vAlign w:val="top"/>
          </w:tcPr>
          <w:p>
            <w:r>
              <w:t>10%</w:t>
            </w:r>
          </w:p>
        </w:tc>
        <w:tc>
          <w:tcPr>
            <w:tcW w:type="dxa" w:w="4060"/>
            <w:tcMar>
              <w:top w:w="80" w:type="dxa"/>
              <w:start w:w="120" w:type="dxa"/>
              <w:bottom w:w="80" w:type="dxa"/>
              <w:end w:w="120" w:type="dxa"/>
            </w:tcMar>
            <w:vAlign w:val="top"/>
          </w:tcPr>
          <w:p>
            <w:r>
              <w:t>Makes usage, human review, change, support, and exit costs comparable.</w:t>
            </w:r>
          </w:p>
        </w:tc>
      </w:tr>
      <w:tr>
        <w:trPr>
          <w:cantSplit/>
        </w:trPr>
        <w:tc>
          <w:tcPr>
            <w:tcW w:type="dxa" w:w="4300"/>
            <w:tcMar>
              <w:top w:w="80" w:type="dxa"/>
              <w:start w:w="120" w:type="dxa"/>
              <w:bottom w:w="80" w:type="dxa"/>
              <w:end w:w="120" w:type="dxa"/>
            </w:tcMar>
            <w:vAlign w:val="top"/>
          </w:tcPr>
          <w:p>
            <w:r>
              <w:t>Change control and exit</w:t>
            </w:r>
          </w:p>
        </w:tc>
        <w:tc>
          <w:tcPr>
            <w:tcW w:type="dxa" w:w="1000"/>
            <w:tcMar>
              <w:top w:w="80" w:type="dxa"/>
              <w:start w:w="120" w:type="dxa"/>
              <w:bottom w:w="80" w:type="dxa"/>
              <w:end w:w="120" w:type="dxa"/>
            </w:tcMar>
            <w:vAlign w:val="top"/>
          </w:tcPr>
          <w:p>
            <w:r>
              <w:t>5%</w:t>
            </w:r>
          </w:p>
        </w:tc>
        <w:tc>
          <w:tcPr>
            <w:tcW w:type="dxa" w:w="4060"/>
            <w:tcMar>
              <w:top w:w="80" w:type="dxa"/>
              <w:start w:w="120" w:type="dxa"/>
              <w:bottom w:w="80" w:type="dxa"/>
              <w:end w:w="120" w:type="dxa"/>
            </w:tcMar>
            <w:vAlign w:val="top"/>
          </w:tcPr>
          <w:p>
            <w:r>
              <w:t>Provides practical notice, testing, rollback, portability, and deletion.</w:t>
            </w:r>
          </w:p>
        </w:tc>
      </w:tr>
    </w:tbl>
    <w:p>
      <w:pPr>
        <w:spacing w:after="0"/>
      </w:pPr>
    </w:p>
    <w:p>
      <w:pPr>
        <w:pStyle w:val="Heading1"/>
        <w:keepNext/>
      </w:pPr>
      <w:r>
        <w:t>Mandatory gates</w:t>
      </w:r>
    </w:p>
    <w:p>
      <w:pPr>
        <w:pStyle w:val="ListBullet"/>
      </w:pPr>
      <w:r>
        <w:t>No vendor advances if it requires autonomous authority over prohibited decisions or actions.</w:t>
      </w:r>
    </w:p>
    <w:p>
      <w:pPr>
        <w:pStyle w:val="ListBullet"/>
      </w:pPr>
      <w:r>
        <w:t>No vendor advances if the organization cannot obtain required data, logs, documentation, and exports.</w:t>
      </w:r>
    </w:p>
    <w:p>
      <w:pPr>
        <w:pStyle w:val="ListBullet"/>
      </w:pPr>
      <w:r>
        <w:t>No vendor advances if required security, privacy, accessibility, records, or legal review cannot be completed.</w:t>
      </w:r>
    </w:p>
    <w:p>
      <w:pPr>
        <w:pStyle w:val="ListBullet"/>
      </w:pPr>
      <w:r>
        <w:t>No vendor advances solely because its weighted score is highest. Evaluators must resolve material exceptions and document the basis.</w:t>
      </w:r>
    </w:p>
    <w:p>
      <w:pPr>
        <w:pStyle w:val="Heading1"/>
        <w:keepNext/>
      </w:pPr>
      <w:r>
        <w:t>Scoring scale</w:t>
      </w:r>
    </w:p>
    <w:tbl>
      <w:tblPr>
        <w:tblStyle w:val="TableGrid"/>
        <w:tblW w:type="dxa" w:w="9360"/>
        <w:jc w:val="left"/>
        <w:tblLayout w:type="fixed"/>
        <w:tblLook w:firstColumn="1" w:firstRow="1" w:lastColumn="0" w:lastRow="0" w:noHBand="0" w:noVBand="1" w:val="04A0"/>
        <w:tblInd w:w="120" w:type="dxa"/>
      </w:tblPr>
      <w:tblGrid>
        <w:gridCol w:w="1200"/>
        <w:gridCol w:w="8160"/>
      </w:tblGrid>
      <w:tr>
        <w:trPr>
          <w:cantSplit/>
          <w:tblHeader w:val="true"/>
        </w:trPr>
        <w:tc>
          <w:tcPr>
            <w:tcW w:type="dxa" w:w="1200"/>
            <w:shd w:fill="E8EEF5"/>
            <w:tcMar>
              <w:top w:w="80" w:type="dxa"/>
              <w:start w:w="120" w:type="dxa"/>
              <w:bottom w:w="80" w:type="dxa"/>
              <w:end w:w="120" w:type="dxa"/>
            </w:tcMar>
            <w:vAlign w:val="top"/>
          </w:tcPr>
          <w:p>
            <w:r>
              <w:rPr>
                <w:b/>
                <w:color w:val="0F172A"/>
              </w:rPr>
              <w:t>Score</w:t>
            </w:r>
          </w:p>
        </w:tc>
        <w:tc>
          <w:tcPr>
            <w:tcW w:type="dxa" w:w="8160"/>
            <w:shd w:fill="E8EEF5"/>
            <w:tcMar>
              <w:top w:w="80" w:type="dxa"/>
              <w:start w:w="120" w:type="dxa"/>
              <w:bottom w:w="80" w:type="dxa"/>
              <w:end w:w="120" w:type="dxa"/>
            </w:tcMar>
            <w:vAlign w:val="top"/>
          </w:tcPr>
          <w:p>
            <w:r>
              <w:rPr>
                <w:b/>
                <w:color w:val="0F172A"/>
              </w:rPr>
              <w:t>Evidence standard</w:t>
            </w:r>
          </w:p>
        </w:tc>
      </w:tr>
      <w:tr>
        <w:trPr>
          <w:cantSplit/>
        </w:trPr>
        <w:tc>
          <w:tcPr>
            <w:tcW w:type="dxa" w:w="1200"/>
            <w:tcMar>
              <w:top w:w="80" w:type="dxa"/>
              <w:start w:w="120" w:type="dxa"/>
              <w:bottom w:w="80" w:type="dxa"/>
              <w:end w:w="120" w:type="dxa"/>
            </w:tcMar>
            <w:vAlign w:val="top"/>
          </w:tcPr>
          <w:p>
            <w:r>
              <w:t>0</w:t>
            </w:r>
          </w:p>
        </w:tc>
        <w:tc>
          <w:tcPr>
            <w:tcW w:type="dxa" w:w="8160"/>
            <w:tcMar>
              <w:top w:w="80" w:type="dxa"/>
              <w:start w:w="120" w:type="dxa"/>
              <w:bottom w:w="80" w:type="dxa"/>
              <w:end w:w="120" w:type="dxa"/>
            </w:tcMar>
            <w:vAlign w:val="top"/>
          </w:tcPr>
          <w:p>
            <w:r>
              <w:t>No response or evidence does not address the requirement.</w:t>
            </w:r>
          </w:p>
        </w:tc>
      </w:tr>
      <w:tr>
        <w:trPr>
          <w:cantSplit/>
        </w:trPr>
        <w:tc>
          <w:tcPr>
            <w:tcW w:type="dxa" w:w="1200"/>
            <w:tcMar>
              <w:top w:w="80" w:type="dxa"/>
              <w:start w:w="120" w:type="dxa"/>
              <w:bottom w:w="80" w:type="dxa"/>
              <w:end w:w="120" w:type="dxa"/>
            </w:tcMar>
            <w:vAlign w:val="top"/>
          </w:tcPr>
          <w:p>
            <w:r>
              <w:t>1</w:t>
            </w:r>
          </w:p>
        </w:tc>
        <w:tc>
          <w:tcPr>
            <w:tcW w:type="dxa" w:w="8160"/>
            <w:tcMar>
              <w:top w:w="80" w:type="dxa"/>
              <w:start w:w="120" w:type="dxa"/>
              <w:bottom w:w="80" w:type="dxa"/>
              <w:end w:w="120" w:type="dxa"/>
            </w:tcMar>
            <w:vAlign w:val="top"/>
          </w:tcPr>
          <w:p>
            <w:r>
              <w:t>Materially deficient or depends on unsupported assurance.</w:t>
            </w:r>
          </w:p>
        </w:tc>
      </w:tr>
      <w:tr>
        <w:trPr>
          <w:cantSplit/>
        </w:trPr>
        <w:tc>
          <w:tcPr>
            <w:tcW w:type="dxa" w:w="1200"/>
            <w:tcMar>
              <w:top w:w="80" w:type="dxa"/>
              <w:start w:w="120" w:type="dxa"/>
              <w:bottom w:w="80" w:type="dxa"/>
              <w:end w:w="120" w:type="dxa"/>
            </w:tcMar>
            <w:vAlign w:val="top"/>
          </w:tcPr>
          <w:p>
            <w:r>
              <w:t>2</w:t>
            </w:r>
          </w:p>
        </w:tc>
        <w:tc>
          <w:tcPr>
            <w:tcW w:type="dxa" w:w="8160"/>
            <w:tcMar>
              <w:top w:w="80" w:type="dxa"/>
              <w:start w:w="120" w:type="dxa"/>
              <w:bottom w:w="80" w:type="dxa"/>
              <w:end w:w="120" w:type="dxa"/>
            </w:tcMar>
            <w:vAlign w:val="top"/>
          </w:tcPr>
          <w:p>
            <w:r>
              <w:t>Partially meets the requirement with important gaps or conditions.</w:t>
            </w:r>
          </w:p>
        </w:tc>
      </w:tr>
      <w:tr>
        <w:trPr>
          <w:cantSplit/>
        </w:trPr>
        <w:tc>
          <w:tcPr>
            <w:tcW w:type="dxa" w:w="1200"/>
            <w:tcMar>
              <w:top w:w="80" w:type="dxa"/>
              <w:start w:w="120" w:type="dxa"/>
              <w:bottom w:w="80" w:type="dxa"/>
              <w:end w:w="120" w:type="dxa"/>
            </w:tcMar>
            <w:vAlign w:val="top"/>
          </w:tcPr>
          <w:p>
            <w:r>
              <w:t>3</w:t>
            </w:r>
          </w:p>
        </w:tc>
        <w:tc>
          <w:tcPr>
            <w:tcW w:type="dxa" w:w="8160"/>
            <w:tcMar>
              <w:top w:w="80" w:type="dxa"/>
              <w:start w:w="120" w:type="dxa"/>
              <w:bottom w:w="80" w:type="dxa"/>
              <w:end w:w="120" w:type="dxa"/>
            </w:tcMar>
            <w:vAlign w:val="top"/>
          </w:tcPr>
          <w:p>
            <w:r>
              <w:t>Meets the requirement with adequate, verifiable evidence.</w:t>
            </w:r>
          </w:p>
        </w:tc>
      </w:tr>
      <w:tr>
        <w:trPr>
          <w:cantSplit/>
        </w:trPr>
        <w:tc>
          <w:tcPr>
            <w:tcW w:type="dxa" w:w="1200"/>
            <w:tcMar>
              <w:top w:w="80" w:type="dxa"/>
              <w:start w:w="120" w:type="dxa"/>
              <w:bottom w:w="80" w:type="dxa"/>
              <w:end w:w="120" w:type="dxa"/>
            </w:tcMar>
            <w:vAlign w:val="top"/>
          </w:tcPr>
          <w:p>
            <w:r>
              <w:t>4</w:t>
            </w:r>
          </w:p>
        </w:tc>
        <w:tc>
          <w:tcPr>
            <w:tcW w:type="dxa" w:w="8160"/>
            <w:tcMar>
              <w:top w:w="80" w:type="dxa"/>
              <w:start w:w="120" w:type="dxa"/>
              <w:bottom w:w="80" w:type="dxa"/>
              <w:end w:w="120" w:type="dxa"/>
            </w:tcMar>
            <w:vAlign w:val="top"/>
          </w:tcPr>
          <w:p>
            <w:r>
              <w:t>Exceeds the requirement in a way that improves the operating outcome.</w:t>
            </w:r>
          </w:p>
        </w:tc>
      </w:tr>
      <w:tr>
        <w:trPr>
          <w:cantSplit/>
        </w:trPr>
        <w:tc>
          <w:tcPr>
            <w:tcW w:type="dxa" w:w="1200"/>
            <w:tcMar>
              <w:top w:w="80" w:type="dxa"/>
              <w:start w:w="120" w:type="dxa"/>
              <w:bottom w:w="80" w:type="dxa"/>
              <w:end w:w="120" w:type="dxa"/>
            </w:tcMar>
            <w:vAlign w:val="top"/>
          </w:tcPr>
          <w:p>
            <w:r>
              <w:t>5</w:t>
            </w:r>
          </w:p>
        </w:tc>
        <w:tc>
          <w:tcPr>
            <w:tcW w:type="dxa" w:w="8160"/>
            <w:tcMar>
              <w:top w:w="80" w:type="dxa"/>
              <w:start w:w="120" w:type="dxa"/>
              <w:bottom w:w="80" w:type="dxa"/>
              <w:end w:w="120" w:type="dxa"/>
            </w:tcMar>
            <w:vAlign w:val="top"/>
          </w:tcPr>
          <w:p>
            <w:r>
              <w:t>Exceptional evidence and fit, with no unsupported or unnecessary scope.</w:t>
            </w:r>
          </w:p>
        </w:tc>
      </w:tr>
    </w:tbl>
    <w:p>
      <w:pPr>
        <w:spacing w:after="0"/>
      </w:pPr>
    </w:p>
    <w:p>
      <w:r>
        <w:br w:type="page"/>
      </w:r>
    </w:p>
    <w:p>
      <w:pPr>
        <w:pStyle w:val="Title"/>
        <w:spacing w:after="100"/>
      </w:pPr>
      <w:r>
        <w:rPr>
          <w:rFonts w:ascii="Calibri" w:hAnsi="Calibri"/>
          <w:b/>
          <w:color w:val="0F172A"/>
          <w:sz w:val="56"/>
        </w:rPr>
        <w:t>6. Bounded pilot and acceptance</w:t>
      </w:r>
    </w:p>
    <w:p>
      <w:pPr>
        <w:pStyle w:val="Subtitle"/>
        <w:spacing w:after="240"/>
      </w:pPr>
      <w:r>
        <w:rPr>
          <w:rFonts w:ascii="Calibri" w:hAnsi="Calibri"/>
          <w:color w:val="0F766E"/>
          <w:sz w:val="28"/>
        </w:rPr>
        <w:t>Resolve one material uncertainty before wider commitment</w:t>
      </w:r>
    </w:p>
    <w:tbl>
      <w:tblPr>
        <w:tblStyle w:val="TableGrid"/>
        <w:tblW w:type="dxa" w:w="9360"/>
        <w:jc w:val="left"/>
        <w:tblLayout w:type="fixed"/>
        <w:tblLook w:firstColumn="1" w:firstRow="1" w:lastColumn="0" w:lastRow="0" w:noHBand="0" w:noVBand="1" w:val="04A0"/>
        <w:tblInd w:w="120" w:type="dxa"/>
      </w:tblPr>
      <w:tblGrid>
        <w:gridCol w:w="2200"/>
        <w:gridCol w:w="7160"/>
      </w:tblGrid>
      <w:tr>
        <w:trPr>
          <w:cantSplit/>
          <w:tblHeader w:val="true"/>
        </w:trPr>
        <w:tc>
          <w:tcPr>
            <w:tcW w:type="dxa" w:w="2200"/>
            <w:shd w:fill="E8EEF5"/>
            <w:tcMar>
              <w:top w:w="80" w:type="dxa"/>
              <w:start w:w="120" w:type="dxa"/>
              <w:bottom w:w="80" w:type="dxa"/>
              <w:end w:w="120" w:type="dxa"/>
            </w:tcMar>
            <w:vAlign w:val="top"/>
          </w:tcPr>
          <w:p>
            <w:r>
              <w:rPr>
                <w:b/>
                <w:color w:val="0F172A"/>
              </w:rPr>
              <w:t>Pilot element</w:t>
            </w:r>
          </w:p>
        </w:tc>
        <w:tc>
          <w:tcPr>
            <w:tcW w:type="dxa" w:w="7160"/>
            <w:shd w:fill="E8EEF5"/>
            <w:tcMar>
              <w:top w:w="80" w:type="dxa"/>
              <w:start w:w="120" w:type="dxa"/>
              <w:bottom w:w="80" w:type="dxa"/>
              <w:end w:w="120" w:type="dxa"/>
            </w:tcMar>
            <w:vAlign w:val="top"/>
          </w:tcPr>
          <w:p>
            <w:r>
              <w:rPr>
                <w:b/>
                <w:color w:val="0F172A"/>
              </w:rPr>
              <w:t>Illustrative boundary</w:t>
            </w:r>
          </w:p>
        </w:tc>
      </w:tr>
      <w:tr>
        <w:trPr>
          <w:cantSplit/>
        </w:trPr>
        <w:tc>
          <w:tcPr>
            <w:tcW w:type="dxa" w:w="2200"/>
            <w:tcMar>
              <w:top w:w="80" w:type="dxa"/>
              <w:start w:w="120" w:type="dxa"/>
              <w:bottom w:w="80" w:type="dxa"/>
              <w:end w:w="120" w:type="dxa"/>
            </w:tcMar>
            <w:vAlign w:val="top"/>
          </w:tcPr>
          <w:p>
            <w:r>
              <w:t>Question</w:t>
            </w:r>
          </w:p>
        </w:tc>
        <w:tc>
          <w:tcPr>
            <w:tcW w:type="dxa" w:w="7160"/>
            <w:tcMar>
              <w:top w:w="80" w:type="dxa"/>
              <w:start w:w="120" w:type="dxa"/>
              <w:bottom w:w="80" w:type="dxa"/>
              <w:end w:w="120" w:type="dxa"/>
            </w:tcMar>
            <w:vAlign w:val="top"/>
          </w:tcPr>
          <w:p>
            <w:r>
              <w:t>Can the function reduce routine triage and drafting work while preserving human authority, safe handling, accessibility, and service quality?</w:t>
            </w:r>
          </w:p>
        </w:tc>
      </w:tr>
      <w:tr>
        <w:trPr>
          <w:cantSplit/>
        </w:trPr>
        <w:tc>
          <w:tcPr>
            <w:tcW w:type="dxa" w:w="2200"/>
            <w:tcMar>
              <w:top w:w="80" w:type="dxa"/>
              <w:start w:w="120" w:type="dxa"/>
              <w:bottom w:w="80" w:type="dxa"/>
              <w:end w:w="120" w:type="dxa"/>
            </w:tcMar>
            <w:vAlign w:val="top"/>
          </w:tcPr>
          <w:p>
            <w:r>
              <w:t>Duration</w:t>
            </w:r>
          </w:p>
        </w:tc>
        <w:tc>
          <w:tcPr>
            <w:tcW w:type="dxa" w:w="7160"/>
            <w:tcMar>
              <w:top w:w="80" w:type="dxa"/>
              <w:start w:w="120" w:type="dxa"/>
              <w:bottom w:w="80" w:type="dxa"/>
              <w:end w:w="120" w:type="dxa"/>
            </w:tcMar>
            <w:vAlign w:val="top"/>
          </w:tcPr>
          <w:p>
            <w:r>
              <w:t>Eight weeks after security, privacy, accessibility, data, and operational approvals.</w:t>
            </w:r>
          </w:p>
        </w:tc>
      </w:tr>
      <w:tr>
        <w:trPr>
          <w:cantSplit/>
        </w:trPr>
        <w:tc>
          <w:tcPr>
            <w:tcW w:type="dxa" w:w="2200"/>
            <w:tcMar>
              <w:top w:w="80" w:type="dxa"/>
              <w:start w:w="120" w:type="dxa"/>
              <w:bottom w:w="80" w:type="dxa"/>
              <w:end w:w="120" w:type="dxa"/>
            </w:tcMar>
            <w:vAlign w:val="top"/>
          </w:tcPr>
          <w:p>
            <w:r>
              <w:t>Users</w:t>
            </w:r>
          </w:p>
        </w:tc>
        <w:tc>
          <w:tcPr>
            <w:tcW w:type="dxa" w:w="7160"/>
            <w:tcMar>
              <w:top w:w="80" w:type="dxa"/>
              <w:start w:w="120" w:type="dxa"/>
              <w:bottom w:w="80" w:type="dxa"/>
              <w:end w:w="120" w:type="dxa"/>
            </w:tcMar>
            <w:vAlign w:val="top"/>
          </w:tcPr>
          <w:p>
            <w:r>
              <w:t>A small approved service-center group and named queue owners.</w:t>
            </w:r>
          </w:p>
        </w:tc>
      </w:tr>
      <w:tr>
        <w:trPr>
          <w:cantSplit/>
        </w:trPr>
        <w:tc>
          <w:tcPr>
            <w:tcW w:type="dxa" w:w="2200"/>
            <w:tcMar>
              <w:top w:w="80" w:type="dxa"/>
              <w:start w:w="120" w:type="dxa"/>
              <w:bottom w:w="80" w:type="dxa"/>
              <w:end w:w="120" w:type="dxa"/>
            </w:tcMar>
            <w:vAlign w:val="top"/>
          </w:tcPr>
          <w:p>
            <w:r>
              <w:t>Data</w:t>
            </w:r>
          </w:p>
        </w:tc>
        <w:tc>
          <w:tcPr>
            <w:tcW w:type="dxa" w:w="7160"/>
            <w:tcMar>
              <w:top w:w="80" w:type="dxa"/>
              <w:start w:w="120" w:type="dxa"/>
              <w:bottom w:w="80" w:type="dxa"/>
              <w:end w:w="120" w:type="dxa"/>
            </w:tcMar>
            <w:vAlign w:val="top"/>
          </w:tcPr>
          <w:p>
            <w:r>
              <w:t>An approved sample plus a limited live workflow only if authorized.</w:t>
            </w:r>
          </w:p>
        </w:tc>
      </w:tr>
      <w:tr>
        <w:trPr>
          <w:cantSplit/>
        </w:trPr>
        <w:tc>
          <w:tcPr>
            <w:tcW w:type="dxa" w:w="2200"/>
            <w:tcMar>
              <w:top w:w="80" w:type="dxa"/>
              <w:start w:w="120" w:type="dxa"/>
              <w:bottom w:w="80" w:type="dxa"/>
              <w:end w:w="120" w:type="dxa"/>
            </w:tcMar>
            <w:vAlign w:val="top"/>
          </w:tcPr>
          <w:p>
            <w:r>
              <w:t>Integration</w:t>
            </w:r>
          </w:p>
        </w:tc>
        <w:tc>
          <w:tcPr>
            <w:tcW w:type="dxa" w:w="7160"/>
            <w:tcMar>
              <w:top w:w="80" w:type="dxa"/>
              <w:start w:w="120" w:type="dxa"/>
              <w:bottom w:w="80" w:type="dxa"/>
              <w:end w:w="120" w:type="dxa"/>
            </w:tcMar>
            <w:vAlign w:val="top"/>
          </w:tcPr>
          <w:p>
            <w:r>
              <w:t>Read-only or isolated exchange until acceptance evidence supports a broader connection.</w:t>
            </w:r>
          </w:p>
        </w:tc>
      </w:tr>
      <w:tr>
        <w:trPr>
          <w:cantSplit/>
        </w:trPr>
        <w:tc>
          <w:tcPr>
            <w:tcW w:type="dxa" w:w="2200"/>
            <w:tcMar>
              <w:top w:w="80" w:type="dxa"/>
              <w:start w:w="120" w:type="dxa"/>
              <w:bottom w:w="80" w:type="dxa"/>
              <w:end w:w="120" w:type="dxa"/>
            </w:tcMar>
            <w:vAlign w:val="top"/>
          </w:tcPr>
          <w:p>
            <w:r>
              <w:t>Fallback</w:t>
            </w:r>
          </w:p>
        </w:tc>
        <w:tc>
          <w:tcPr>
            <w:tcW w:type="dxa" w:w="7160"/>
            <w:tcMar>
              <w:top w:w="80" w:type="dxa"/>
              <w:start w:w="120" w:type="dxa"/>
              <w:bottom w:w="80" w:type="dxa"/>
              <w:end w:w="120" w:type="dxa"/>
            </w:tcMar>
            <w:vAlign w:val="top"/>
          </w:tcPr>
          <w:p>
            <w:r>
              <w:t>Return immediately to the current process without loss of requests, decisions, or evidence.</w:t>
            </w:r>
          </w:p>
        </w:tc>
      </w:tr>
      <w:tr>
        <w:trPr>
          <w:cantSplit/>
        </w:trPr>
        <w:tc>
          <w:tcPr>
            <w:tcW w:type="dxa" w:w="2200"/>
            <w:tcMar>
              <w:top w:w="80" w:type="dxa"/>
              <w:start w:w="120" w:type="dxa"/>
              <w:bottom w:w="80" w:type="dxa"/>
              <w:end w:w="120" w:type="dxa"/>
            </w:tcMar>
            <w:vAlign w:val="top"/>
          </w:tcPr>
          <w:p>
            <w:r>
              <w:t>Stop authority</w:t>
            </w:r>
          </w:p>
        </w:tc>
        <w:tc>
          <w:tcPr>
            <w:tcW w:type="dxa" w:w="7160"/>
            <w:tcMar>
              <w:top w:w="80" w:type="dxa"/>
              <w:start w:w="120" w:type="dxa"/>
              <w:bottom w:w="80" w:type="dxa"/>
              <w:end w:w="120" w:type="dxa"/>
            </w:tcMar>
            <w:vAlign w:val="top"/>
          </w:tcPr>
          <w:p>
            <w:r>
              <w:t>Named operational and technical owners may pause the function independently.</w:t>
            </w:r>
          </w:p>
        </w:tc>
      </w:tr>
    </w:tbl>
    <w:p>
      <w:pPr>
        <w:spacing w:after="0"/>
      </w:pPr>
    </w:p>
    <w:p>
      <w:pPr>
        <w:pStyle w:val="Heading1"/>
        <w:keepNext/>
      </w:pPr>
      <w:r>
        <w:t>Illustrative acceptance measures</w:t>
      </w:r>
    </w:p>
    <w:tbl>
      <w:tblPr>
        <w:tblStyle w:val="TableGrid"/>
        <w:tblW w:type="dxa" w:w="9360"/>
        <w:jc w:val="left"/>
        <w:tblLayout w:type="fixed"/>
        <w:tblLook w:firstColumn="1" w:firstRow="1" w:lastColumn="0" w:lastRow="0" w:noHBand="0" w:noVBand="1" w:val="04A0"/>
        <w:tblInd w:w="120" w:type="dxa"/>
      </w:tblPr>
      <w:tblGrid>
        <w:gridCol w:w="3600"/>
        <w:gridCol w:w="3760"/>
        <w:gridCol w:w="2000"/>
      </w:tblGrid>
      <w:tr>
        <w:trPr>
          <w:cantSplit/>
          <w:tblHeader w:val="true"/>
        </w:trPr>
        <w:tc>
          <w:tcPr>
            <w:tcW w:type="dxa" w:w="3600"/>
            <w:shd w:fill="E8EEF5"/>
            <w:tcMar>
              <w:top w:w="80" w:type="dxa"/>
              <w:start w:w="120" w:type="dxa"/>
              <w:bottom w:w="80" w:type="dxa"/>
              <w:end w:w="120" w:type="dxa"/>
            </w:tcMar>
            <w:vAlign w:val="top"/>
          </w:tcPr>
          <w:p>
            <w:r>
              <w:rPr>
                <w:b/>
                <w:color w:val="0F172A"/>
              </w:rPr>
              <w:t>Measure</w:t>
            </w:r>
          </w:p>
        </w:tc>
        <w:tc>
          <w:tcPr>
            <w:tcW w:type="dxa" w:w="3760"/>
            <w:shd w:fill="E8EEF5"/>
            <w:tcMar>
              <w:top w:w="80" w:type="dxa"/>
              <w:start w:w="120" w:type="dxa"/>
              <w:bottom w:w="80" w:type="dxa"/>
              <w:end w:w="120" w:type="dxa"/>
            </w:tcMar>
            <w:vAlign w:val="top"/>
          </w:tcPr>
          <w:p>
            <w:r>
              <w:rPr>
                <w:b/>
                <w:color w:val="0F172A"/>
              </w:rPr>
              <w:t>Illustrative threshold</w:t>
            </w:r>
          </w:p>
        </w:tc>
        <w:tc>
          <w:tcPr>
            <w:tcW w:type="dxa" w:w="2000"/>
            <w:shd w:fill="E8EEF5"/>
            <w:tcMar>
              <w:top w:w="80" w:type="dxa"/>
              <w:start w:w="120" w:type="dxa"/>
              <w:bottom w:w="80" w:type="dxa"/>
              <w:end w:w="120" w:type="dxa"/>
            </w:tcMar>
            <w:vAlign w:val="top"/>
          </w:tcPr>
          <w:p>
            <w:r>
              <w:rPr>
                <w:b/>
                <w:color w:val="0F172A"/>
              </w:rPr>
              <w:t>Evidence owner</w:t>
            </w:r>
          </w:p>
        </w:tc>
      </w:tr>
      <w:tr>
        <w:trPr>
          <w:cantSplit/>
        </w:trPr>
        <w:tc>
          <w:tcPr>
            <w:tcW w:type="dxa" w:w="3600"/>
            <w:tcMar>
              <w:top w:w="80" w:type="dxa"/>
              <w:start w:w="120" w:type="dxa"/>
              <w:bottom w:w="80" w:type="dxa"/>
              <w:end w:w="120" w:type="dxa"/>
            </w:tcMar>
            <w:vAlign w:val="top"/>
          </w:tcPr>
          <w:p>
            <w:r>
              <w:t>Overall routing recommendation accuracy</w:t>
            </w:r>
          </w:p>
        </w:tc>
        <w:tc>
          <w:tcPr>
            <w:tcW w:type="dxa" w:w="3760"/>
            <w:tcMar>
              <w:top w:w="80" w:type="dxa"/>
              <w:start w:w="120" w:type="dxa"/>
              <w:bottom w:w="80" w:type="dxa"/>
              <w:end w:w="120" w:type="dxa"/>
            </w:tcMar>
            <w:vAlign w:val="top"/>
          </w:tcPr>
          <w:p>
            <w:r>
              <w:t>At least 90% on the approved representative test set</w:t>
            </w:r>
          </w:p>
        </w:tc>
        <w:tc>
          <w:tcPr>
            <w:tcW w:type="dxa" w:w="2000"/>
            <w:tcMar>
              <w:top w:w="80" w:type="dxa"/>
              <w:start w:w="120" w:type="dxa"/>
              <w:bottom w:w="80" w:type="dxa"/>
              <w:end w:w="120" w:type="dxa"/>
            </w:tcMar>
            <w:vAlign w:val="top"/>
          </w:tcPr>
          <w:p>
            <w:r>
              <w:t>Evaluation owner</w:t>
            </w:r>
          </w:p>
        </w:tc>
      </w:tr>
      <w:tr>
        <w:trPr>
          <w:cantSplit/>
        </w:trPr>
        <w:tc>
          <w:tcPr>
            <w:tcW w:type="dxa" w:w="3600"/>
            <w:tcMar>
              <w:top w:w="80" w:type="dxa"/>
              <w:start w:w="120" w:type="dxa"/>
              <w:bottom w:w="80" w:type="dxa"/>
              <w:end w:w="120" w:type="dxa"/>
            </w:tcMar>
            <w:vAlign w:val="top"/>
          </w:tcPr>
          <w:p>
            <w:r>
              <w:t>High-consequence routing errors</w:t>
            </w:r>
          </w:p>
        </w:tc>
        <w:tc>
          <w:tcPr>
            <w:tcW w:type="dxa" w:w="3760"/>
            <w:tcMar>
              <w:top w:w="80" w:type="dxa"/>
              <w:start w:w="120" w:type="dxa"/>
              <w:bottom w:w="80" w:type="dxa"/>
              <w:end w:w="120" w:type="dxa"/>
            </w:tcMar>
            <w:vAlign w:val="top"/>
          </w:tcPr>
          <w:p>
            <w:r>
              <w:t>Zero unresolved errors in the approved emergency, eligibility, enforcement, benefit, or payment test cases</w:t>
            </w:r>
          </w:p>
        </w:tc>
        <w:tc>
          <w:tcPr>
            <w:tcW w:type="dxa" w:w="2000"/>
            <w:tcMar>
              <w:top w:w="80" w:type="dxa"/>
              <w:start w:w="120" w:type="dxa"/>
              <w:bottom w:w="80" w:type="dxa"/>
              <w:end w:w="120" w:type="dxa"/>
            </w:tcMar>
            <w:vAlign w:val="top"/>
          </w:tcPr>
          <w:p>
            <w:r>
              <w:t>Operational and legal owners</w:t>
            </w:r>
          </w:p>
        </w:tc>
      </w:tr>
      <w:tr>
        <w:trPr>
          <w:cantSplit/>
        </w:trPr>
        <w:tc>
          <w:tcPr>
            <w:tcW w:type="dxa" w:w="3600"/>
            <w:tcMar>
              <w:top w:w="80" w:type="dxa"/>
              <w:start w:w="120" w:type="dxa"/>
              <w:bottom w:w="80" w:type="dxa"/>
              <w:end w:w="120" w:type="dxa"/>
            </w:tcMar>
            <w:vAlign w:val="top"/>
          </w:tcPr>
          <w:p>
            <w:r>
              <w:t>Human approval before action</w:t>
            </w:r>
          </w:p>
        </w:tc>
        <w:tc>
          <w:tcPr>
            <w:tcW w:type="dxa" w:w="3760"/>
            <w:tcMar>
              <w:top w:w="80" w:type="dxa"/>
              <w:start w:w="120" w:type="dxa"/>
              <w:bottom w:w="80" w:type="dxa"/>
              <w:end w:w="120" w:type="dxa"/>
            </w:tcMar>
            <w:vAlign w:val="top"/>
          </w:tcPr>
          <w:p>
            <w:r>
              <w:t>100% of in-scope record and communication actions show authorized review</w:t>
            </w:r>
          </w:p>
        </w:tc>
        <w:tc>
          <w:tcPr>
            <w:tcW w:type="dxa" w:w="2000"/>
            <w:tcMar>
              <w:top w:w="80" w:type="dxa"/>
              <w:start w:w="120" w:type="dxa"/>
              <w:bottom w:w="80" w:type="dxa"/>
              <w:end w:w="120" w:type="dxa"/>
            </w:tcMar>
            <w:vAlign w:val="top"/>
          </w:tcPr>
          <w:p>
            <w:r>
              <w:t>Security and operational owners</w:t>
            </w:r>
          </w:p>
        </w:tc>
      </w:tr>
      <w:tr>
        <w:trPr>
          <w:cantSplit/>
        </w:trPr>
        <w:tc>
          <w:tcPr>
            <w:tcW w:type="dxa" w:w="3600"/>
            <w:tcMar>
              <w:top w:w="80" w:type="dxa"/>
              <w:start w:w="120" w:type="dxa"/>
              <w:bottom w:w="80" w:type="dxa"/>
              <w:end w:w="120" w:type="dxa"/>
            </w:tcMar>
            <w:vAlign w:val="top"/>
          </w:tcPr>
          <w:p>
            <w:r>
              <w:t>Unsupported facts in drafts</w:t>
            </w:r>
          </w:p>
        </w:tc>
        <w:tc>
          <w:tcPr>
            <w:tcW w:type="dxa" w:w="3760"/>
            <w:tcMar>
              <w:top w:w="80" w:type="dxa"/>
              <w:start w:w="120" w:type="dxa"/>
              <w:bottom w:w="80" w:type="dxa"/>
              <w:end w:w="120" w:type="dxa"/>
            </w:tcMar>
            <w:vAlign w:val="top"/>
          </w:tcPr>
          <w:p>
            <w:r>
              <w:t>Below the locally approved tolerance, with every material error reviewed</w:t>
            </w:r>
          </w:p>
        </w:tc>
        <w:tc>
          <w:tcPr>
            <w:tcW w:type="dxa" w:w="2000"/>
            <w:tcMar>
              <w:top w:w="80" w:type="dxa"/>
              <w:start w:w="120" w:type="dxa"/>
              <w:bottom w:w="80" w:type="dxa"/>
              <w:end w:w="120" w:type="dxa"/>
            </w:tcMar>
            <w:vAlign w:val="top"/>
          </w:tcPr>
          <w:p>
            <w:r>
              <w:t>Communications and operational owners</w:t>
            </w:r>
          </w:p>
        </w:tc>
      </w:tr>
      <w:tr>
        <w:trPr>
          <w:cantSplit/>
        </w:trPr>
        <w:tc>
          <w:tcPr>
            <w:tcW w:type="dxa" w:w="3600"/>
            <w:tcMar>
              <w:top w:w="80" w:type="dxa"/>
              <w:start w:w="120" w:type="dxa"/>
              <w:bottom w:w="80" w:type="dxa"/>
              <w:end w:w="120" w:type="dxa"/>
            </w:tcMar>
            <w:vAlign w:val="top"/>
          </w:tcPr>
          <w:p>
            <w:r>
              <w:t>Accessibility and language access</w:t>
            </w:r>
          </w:p>
        </w:tc>
        <w:tc>
          <w:tcPr>
            <w:tcW w:type="dxa" w:w="3760"/>
            <w:tcMar>
              <w:top w:w="80" w:type="dxa"/>
              <w:start w:w="120" w:type="dxa"/>
              <w:bottom w:w="80" w:type="dxa"/>
              <w:end w:w="120" w:type="dxa"/>
            </w:tcMar>
            <w:vAlign w:val="top"/>
          </w:tcPr>
          <w:p>
            <w:r>
              <w:t>No blocking issue in the approved test protocol</w:t>
            </w:r>
          </w:p>
        </w:tc>
        <w:tc>
          <w:tcPr>
            <w:tcW w:type="dxa" w:w="2000"/>
            <w:tcMar>
              <w:top w:w="80" w:type="dxa"/>
              <w:start w:w="120" w:type="dxa"/>
              <w:bottom w:w="80" w:type="dxa"/>
              <w:end w:w="120" w:type="dxa"/>
            </w:tcMar>
            <w:vAlign w:val="top"/>
          </w:tcPr>
          <w:p>
            <w:r>
              <w:t>Accessibility and language-access owners</w:t>
            </w:r>
          </w:p>
        </w:tc>
      </w:tr>
      <w:tr>
        <w:trPr>
          <w:cantSplit/>
        </w:trPr>
        <w:tc>
          <w:tcPr>
            <w:tcW w:type="dxa" w:w="3600"/>
            <w:tcMar>
              <w:top w:w="80" w:type="dxa"/>
              <w:start w:w="120" w:type="dxa"/>
              <w:bottom w:w="80" w:type="dxa"/>
              <w:end w:w="120" w:type="dxa"/>
            </w:tcMar>
            <w:vAlign w:val="top"/>
          </w:tcPr>
          <w:p>
            <w:r>
              <w:t>Staff effort</w:t>
            </w:r>
          </w:p>
        </w:tc>
        <w:tc>
          <w:tcPr>
            <w:tcW w:type="dxa" w:w="3760"/>
            <w:tcMar>
              <w:top w:w="80" w:type="dxa"/>
              <w:start w:w="120" w:type="dxa"/>
              <w:bottom w:w="80" w:type="dxa"/>
              <w:end w:w="120" w:type="dxa"/>
            </w:tcMar>
            <w:vAlign w:val="top"/>
          </w:tcPr>
          <w:p>
            <w:r>
              <w:t>Measured reduction that exceeds monitoring and correction burden</w:t>
            </w:r>
          </w:p>
        </w:tc>
        <w:tc>
          <w:tcPr>
            <w:tcW w:type="dxa" w:w="2000"/>
            <w:tcMar>
              <w:top w:w="80" w:type="dxa"/>
              <w:start w:w="120" w:type="dxa"/>
              <w:bottom w:w="80" w:type="dxa"/>
              <w:end w:w="120" w:type="dxa"/>
            </w:tcMar>
            <w:vAlign w:val="top"/>
          </w:tcPr>
          <w:p>
            <w:r>
              <w:t>Operational owner</w:t>
            </w:r>
          </w:p>
        </w:tc>
      </w:tr>
      <w:tr>
        <w:trPr>
          <w:cantSplit/>
        </w:trPr>
        <w:tc>
          <w:tcPr>
            <w:tcW w:type="dxa" w:w="3600"/>
            <w:tcMar>
              <w:top w:w="80" w:type="dxa"/>
              <w:start w:w="120" w:type="dxa"/>
              <w:bottom w:w="80" w:type="dxa"/>
              <w:end w:w="120" w:type="dxa"/>
            </w:tcMar>
            <w:vAlign w:val="top"/>
          </w:tcPr>
          <w:p>
            <w:r>
              <w:t>Cost</w:t>
            </w:r>
          </w:p>
        </w:tc>
        <w:tc>
          <w:tcPr>
            <w:tcW w:type="dxa" w:w="3760"/>
            <w:tcMar>
              <w:top w:w="80" w:type="dxa"/>
              <w:start w:w="120" w:type="dxa"/>
              <w:bottom w:w="80" w:type="dxa"/>
              <w:end w:w="120" w:type="dxa"/>
            </w:tcMar>
            <w:vAlign w:val="top"/>
          </w:tcPr>
          <w:p>
            <w:r>
              <w:t>Within the approved whole-life cost envelope and usage assumptions</w:t>
            </w:r>
          </w:p>
        </w:tc>
        <w:tc>
          <w:tcPr>
            <w:tcW w:type="dxa" w:w="2000"/>
            <w:tcMar>
              <w:top w:w="80" w:type="dxa"/>
              <w:start w:w="120" w:type="dxa"/>
              <w:bottom w:w="80" w:type="dxa"/>
              <w:end w:w="120" w:type="dxa"/>
            </w:tcMar>
            <w:vAlign w:val="top"/>
          </w:tcPr>
          <w:p>
            <w:r>
              <w:t>Finance and procurement</w:t>
            </w:r>
          </w:p>
        </w:tc>
      </w:tr>
      <w:tr>
        <w:trPr>
          <w:cantSplit/>
        </w:trPr>
        <w:tc>
          <w:tcPr>
            <w:tcW w:type="dxa" w:w="3600"/>
            <w:tcMar>
              <w:top w:w="80" w:type="dxa"/>
              <w:start w:w="120" w:type="dxa"/>
              <w:bottom w:w="80" w:type="dxa"/>
              <w:end w:w="120" w:type="dxa"/>
            </w:tcMar>
            <w:vAlign w:val="top"/>
          </w:tcPr>
          <w:p>
            <w:r>
              <w:t>Exit</w:t>
            </w:r>
          </w:p>
        </w:tc>
        <w:tc>
          <w:tcPr>
            <w:tcW w:type="dxa" w:w="3760"/>
            <w:tcMar>
              <w:top w:w="80" w:type="dxa"/>
              <w:start w:w="120" w:type="dxa"/>
              <w:bottom w:w="80" w:type="dxa"/>
              <w:end w:w="120" w:type="dxa"/>
            </w:tcMar>
            <w:vAlign w:val="top"/>
          </w:tcPr>
          <w:p>
            <w:r>
              <w:t>Complete usable export and tested shutdown without record loss</w:t>
            </w:r>
          </w:p>
        </w:tc>
        <w:tc>
          <w:tcPr>
            <w:tcW w:type="dxa" w:w="2000"/>
            <w:tcMar>
              <w:top w:w="80" w:type="dxa"/>
              <w:start w:w="120" w:type="dxa"/>
              <w:bottom w:w="80" w:type="dxa"/>
              <w:end w:w="120" w:type="dxa"/>
            </w:tcMar>
            <w:vAlign w:val="top"/>
          </w:tcPr>
          <w:p>
            <w:r>
              <w:t>IT, records, and operational owners</w:t>
            </w:r>
          </w:p>
        </w:tc>
      </w:tr>
    </w:tbl>
    <w:p>
      <w:pPr>
        <w:spacing w:after="0"/>
      </w:pP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vAlign w:val="top"/>
            <w:shd w:fill="FFF7E6"/>
          </w:tcPr>
          <w:p>
            <w:pPr>
              <w:spacing w:after="60"/>
            </w:pPr>
            <w:r>
              <w:rPr>
                <w:b/>
                <w:color w:val="1F4D78"/>
              </w:rPr>
              <w:t>Illustrative thresholds only</w:t>
            </w:r>
          </w:p>
          <w:p>
            <w:pPr>
              <w:spacing w:after="0"/>
            </w:pPr>
            <w:r>
              <w:t>The organization must set thresholds from its baseline, risk, law, policy, affected people, and operating context. Do not copy these numbers without a documented local basis.</w:t>
            </w:r>
          </w:p>
        </w:tc>
      </w:tr>
    </w:tbl>
    <w:p>
      <w:pPr>
        <w:spacing w:after="0"/>
      </w:pPr>
    </w:p>
    <w:p>
      <w:r>
        <w:br w:type="page"/>
      </w:r>
    </w:p>
    <w:p>
      <w:pPr>
        <w:pStyle w:val="Title"/>
        <w:spacing w:after="100"/>
      </w:pPr>
      <w:r>
        <w:rPr>
          <w:rFonts w:ascii="Calibri" w:hAnsi="Calibri"/>
          <w:b/>
          <w:color w:val="0F172A"/>
          <w:sz w:val="56"/>
        </w:rPr>
        <w:t>7. Pricing, change, and exit</w:t>
      </w:r>
    </w:p>
    <w:p>
      <w:pPr>
        <w:pStyle w:val="Subtitle"/>
        <w:spacing w:after="240"/>
      </w:pPr>
      <w:r>
        <w:rPr>
          <w:rFonts w:ascii="Calibri" w:hAnsi="Calibri"/>
          <w:color w:val="0F766E"/>
          <w:sz w:val="28"/>
        </w:rPr>
        <w:t>Compare the operating model, not only the subscription</w:t>
      </w:r>
    </w:p>
    <w:p>
      <w:pPr>
        <w:pStyle w:val="Heading1"/>
        <w:keepNext/>
      </w:pPr>
      <w:r>
        <w:t>Whole-life pricing questions</w:t>
      </w:r>
    </w:p>
    <w:p>
      <w:pPr>
        <w:pStyle w:val="ListBullet"/>
      </w:pPr>
      <w:r>
        <w:t>What one-time work is required for discovery, configuration, integration, data preparation, security, privacy, accessibility, testing, training, and launch?</w:t>
      </w:r>
    </w:p>
    <w:p>
      <w:pPr>
        <w:pStyle w:val="ListBullet"/>
      </w:pPr>
      <w:r>
        <w:t>Which units drive recurring cost: users, requests, tokens, models, storage, retention, environments, support, or transactions?</w:t>
      </w:r>
    </w:p>
    <w:p>
      <w:pPr>
        <w:pStyle w:val="ListBullet"/>
      </w:pPr>
      <w:r>
        <w:t>What human review, monitoring, test maintenance, incident response, and governance work remains with the organization?</w:t>
      </w:r>
    </w:p>
    <w:p>
      <w:pPr>
        <w:pStyle w:val="ListBullet"/>
      </w:pPr>
      <w:r>
        <w:t>Which model, feature, subprocessor, hosting, policy, or usage changes can alter price or performance?</w:t>
      </w:r>
    </w:p>
    <w:p>
      <w:pPr>
        <w:pStyle w:val="ListBullet"/>
      </w:pPr>
      <w:r>
        <w:t>What costs apply to export, transition assistance, deletion, termination, or a required parallel run?</w:t>
      </w:r>
    </w:p>
    <w:p>
      <w:pPr>
        <w:pStyle w:val="Heading1"/>
        <w:keepNext/>
      </w:pPr>
      <w:r>
        <w:t>Change-control checklist</w:t>
      </w:r>
    </w:p>
    <w:p>
      <w:pPr>
        <w:pStyle w:val="ListBullet"/>
      </w:pPr>
      <w:r>
        <w:t>Define material changes and the notice period for each category.</w:t>
      </w:r>
    </w:p>
    <w:p>
      <w:pPr>
        <w:pStyle w:val="ListBullet"/>
      </w:pPr>
      <w:r>
        <w:t>Require a version record, impact explanation, updated documentation, and test evidence.</w:t>
      </w:r>
    </w:p>
    <w:p>
      <w:pPr>
        <w:pStyle w:val="ListBullet"/>
      </w:pPr>
      <w:r>
        <w:t>Name who reviews, approves, rejects, delays, or rolls back a change.</w:t>
      </w:r>
    </w:p>
    <w:p>
      <w:pPr>
        <w:pStyle w:val="ListBullet"/>
      </w:pPr>
      <w:r>
        <w:t>Preserve the prior working version or an approved fallback where feasible.</w:t>
      </w:r>
    </w:p>
    <w:p>
      <w:pPr>
        <w:pStyle w:val="ListBullet"/>
      </w:pPr>
      <w:r>
        <w:t>Tie price changes to transparent units, limits, notice, and termination rights.</w:t>
      </w:r>
    </w:p>
    <w:p>
      <w:pPr>
        <w:pStyle w:val="Heading1"/>
        <w:keepNext/>
      </w:pPr>
      <w:r>
        <w:t>Exit package</w:t>
      </w:r>
    </w:p>
    <w:tbl>
      <w:tblPr>
        <w:tblStyle w:val="TableGrid"/>
        <w:tblW w:type="dxa" w:w="9360"/>
        <w:jc w:val="left"/>
        <w:tblLayout w:type="fixed"/>
        <w:tblLook w:firstColumn="1" w:firstRow="1" w:lastColumn="0" w:lastRow="0" w:noHBand="0" w:noVBand="1" w:val="04A0"/>
        <w:tblInd w:w="120" w:type="dxa"/>
      </w:tblPr>
      <w:tblGrid>
        <w:gridCol w:w="3800"/>
        <w:gridCol w:w="5560"/>
      </w:tblGrid>
      <w:tr>
        <w:trPr>
          <w:cantSplit/>
          <w:tblHeader w:val="true"/>
        </w:trPr>
        <w:tc>
          <w:tcPr>
            <w:tcW w:type="dxa" w:w="3800"/>
            <w:shd w:fill="E8EEF5"/>
            <w:tcMar>
              <w:top w:w="80" w:type="dxa"/>
              <w:start w:w="120" w:type="dxa"/>
              <w:bottom w:w="80" w:type="dxa"/>
              <w:end w:w="120" w:type="dxa"/>
            </w:tcMar>
            <w:vAlign w:val="top"/>
          </w:tcPr>
          <w:p>
            <w:r>
              <w:rPr>
                <w:b/>
                <w:color w:val="0F172A"/>
              </w:rPr>
              <w:t>Artifact</w:t>
            </w:r>
          </w:p>
        </w:tc>
        <w:tc>
          <w:tcPr>
            <w:tcW w:type="dxa" w:w="5560"/>
            <w:shd w:fill="E8EEF5"/>
            <w:tcMar>
              <w:top w:w="80" w:type="dxa"/>
              <w:start w:w="120" w:type="dxa"/>
              <w:bottom w:w="80" w:type="dxa"/>
              <w:end w:w="120" w:type="dxa"/>
            </w:tcMar>
            <w:vAlign w:val="top"/>
          </w:tcPr>
          <w:p>
            <w:r>
              <w:rPr>
                <w:b/>
                <w:color w:val="0F172A"/>
              </w:rPr>
              <w:t>Acceptance question</w:t>
            </w:r>
          </w:p>
        </w:tc>
      </w:tr>
      <w:tr>
        <w:trPr>
          <w:cantSplit/>
        </w:trPr>
        <w:tc>
          <w:tcPr>
            <w:tcW w:type="dxa" w:w="3800"/>
            <w:tcMar>
              <w:top w:w="80" w:type="dxa"/>
              <w:start w:w="120" w:type="dxa"/>
              <w:bottom w:w="80" w:type="dxa"/>
              <w:end w:w="120" w:type="dxa"/>
            </w:tcMar>
            <w:vAlign w:val="top"/>
          </w:tcPr>
          <w:p>
            <w:r>
              <w:t>Government data and outputs</w:t>
            </w:r>
          </w:p>
        </w:tc>
        <w:tc>
          <w:tcPr>
            <w:tcW w:type="dxa" w:w="5560"/>
            <w:tcMar>
              <w:top w:w="80" w:type="dxa"/>
              <w:start w:w="120" w:type="dxa"/>
              <w:bottom w:w="80" w:type="dxa"/>
              <w:end w:w="120" w:type="dxa"/>
            </w:tcMar>
            <w:vAlign w:val="top"/>
          </w:tcPr>
          <w:p>
            <w:r>
              <w:t>Can the organization export complete records in documented, usable formats?</w:t>
            </w:r>
          </w:p>
        </w:tc>
      </w:tr>
      <w:tr>
        <w:trPr>
          <w:cantSplit/>
        </w:trPr>
        <w:tc>
          <w:tcPr>
            <w:tcW w:type="dxa" w:w="3800"/>
            <w:tcMar>
              <w:top w:w="80" w:type="dxa"/>
              <w:start w:w="120" w:type="dxa"/>
              <w:bottom w:w="80" w:type="dxa"/>
              <w:end w:w="120" w:type="dxa"/>
            </w:tcMar>
            <w:vAlign w:val="top"/>
          </w:tcPr>
          <w:p>
            <w:r>
              <w:t>Configurations, prompts, templates, and taxonomies</w:t>
            </w:r>
          </w:p>
        </w:tc>
        <w:tc>
          <w:tcPr>
            <w:tcW w:type="dxa" w:w="5560"/>
            <w:tcMar>
              <w:top w:w="80" w:type="dxa"/>
              <w:start w:w="120" w:type="dxa"/>
              <w:bottom w:w="80" w:type="dxa"/>
              <w:end w:w="120" w:type="dxa"/>
            </w:tcMar>
            <w:vAlign w:val="top"/>
          </w:tcPr>
          <w:p>
            <w:r>
              <w:t>Can a successor reproduce the approved workflow without proprietary ambiguity?</w:t>
            </w:r>
          </w:p>
        </w:tc>
      </w:tr>
      <w:tr>
        <w:trPr>
          <w:cantSplit/>
        </w:trPr>
        <w:tc>
          <w:tcPr>
            <w:tcW w:type="dxa" w:w="3800"/>
            <w:tcMar>
              <w:top w:w="80" w:type="dxa"/>
              <w:start w:w="120" w:type="dxa"/>
              <w:bottom w:w="80" w:type="dxa"/>
              <w:end w:w="120" w:type="dxa"/>
            </w:tcMar>
            <w:vAlign w:val="top"/>
          </w:tcPr>
          <w:p>
            <w:r>
              <w:t>Logs, versions, evaluations, and reviewer corrections</w:t>
            </w:r>
          </w:p>
        </w:tc>
        <w:tc>
          <w:tcPr>
            <w:tcW w:type="dxa" w:w="5560"/>
            <w:tcMar>
              <w:top w:w="80" w:type="dxa"/>
              <w:start w:w="120" w:type="dxa"/>
              <w:bottom w:w="80" w:type="dxa"/>
              <w:end w:w="120" w:type="dxa"/>
            </w:tcMar>
            <w:vAlign w:val="top"/>
          </w:tcPr>
          <w:p>
            <w:r>
              <w:t>Can the organization reconstruct material actions and performance evidence?</w:t>
            </w:r>
          </w:p>
        </w:tc>
      </w:tr>
      <w:tr>
        <w:trPr>
          <w:cantSplit/>
        </w:trPr>
        <w:tc>
          <w:tcPr>
            <w:tcW w:type="dxa" w:w="3800"/>
            <w:tcMar>
              <w:top w:w="80" w:type="dxa"/>
              <w:start w:w="120" w:type="dxa"/>
              <w:bottom w:w="80" w:type="dxa"/>
              <w:end w:w="120" w:type="dxa"/>
            </w:tcMar>
            <w:vAlign w:val="top"/>
          </w:tcPr>
          <w:p>
            <w:r>
              <w:t>Architecture, data dictionary, interfaces, and operating procedures</w:t>
            </w:r>
          </w:p>
        </w:tc>
        <w:tc>
          <w:tcPr>
            <w:tcW w:type="dxa" w:w="5560"/>
            <w:tcMar>
              <w:top w:w="80" w:type="dxa"/>
              <w:start w:w="120" w:type="dxa"/>
              <w:bottom w:w="80" w:type="dxa"/>
              <w:end w:w="120" w:type="dxa"/>
            </w:tcMar>
            <w:vAlign w:val="top"/>
          </w:tcPr>
          <w:p>
            <w:r>
              <w:t>Can internal staff or a successor understand and operate the transition?</w:t>
            </w:r>
          </w:p>
        </w:tc>
      </w:tr>
      <w:tr>
        <w:trPr>
          <w:cantSplit/>
        </w:trPr>
        <w:tc>
          <w:tcPr>
            <w:tcW w:type="dxa" w:w="3800"/>
            <w:tcMar>
              <w:top w:w="80" w:type="dxa"/>
              <w:start w:w="120" w:type="dxa"/>
              <w:bottom w:w="80" w:type="dxa"/>
              <w:end w:w="120" w:type="dxa"/>
            </w:tcMar>
            <w:vAlign w:val="top"/>
          </w:tcPr>
          <w:p>
            <w:r>
              <w:t>Deletion and access termination evidence</w:t>
            </w:r>
          </w:p>
        </w:tc>
        <w:tc>
          <w:tcPr>
            <w:tcW w:type="dxa" w:w="5560"/>
            <w:tcMar>
              <w:top w:w="80" w:type="dxa"/>
              <w:start w:w="120" w:type="dxa"/>
              <w:bottom w:w="80" w:type="dxa"/>
              <w:end w:w="120" w:type="dxa"/>
            </w:tcMar>
            <w:vAlign w:val="top"/>
          </w:tcPr>
          <w:p>
            <w:r>
              <w:t>Can responsible officials verify what was deleted, retained, or placed on hold?</w:t>
            </w:r>
          </w:p>
        </w:tc>
      </w:tr>
    </w:tbl>
    <w:p>
      <w:pPr>
        <w:spacing w:after="0"/>
      </w:pPr>
    </w:p>
    <w:p>
      <w:r>
        <w:br w:type="page"/>
      </w:r>
    </w:p>
    <w:p>
      <w:pPr>
        <w:pStyle w:val="Title"/>
        <w:spacing w:after="100"/>
      </w:pPr>
      <w:r>
        <w:rPr>
          <w:rFonts w:ascii="Calibri" w:hAnsi="Calibri"/>
          <w:b/>
          <w:color w:val="0F172A"/>
          <w:sz w:val="56"/>
        </w:rPr>
        <w:t>8. Local verification and sources</w:t>
      </w:r>
    </w:p>
    <w:p>
      <w:pPr>
        <w:pStyle w:val="Subtitle"/>
        <w:spacing w:after="240"/>
      </w:pPr>
      <w:r>
        <w:rPr>
          <w:rFonts w:ascii="Calibri" w:hAnsi="Calibri"/>
          <w:color w:val="0F766E"/>
          <w:sz w:val="28"/>
        </w:rPr>
        <w:t>Use authoritative sources and record what applies</w:t>
      </w:r>
    </w:p>
    <w:p>
      <w:pPr>
        <w:pStyle w:val="Heading1"/>
        <w:keepNext/>
      </w:pPr>
      <w:r>
        <w:t>Local-verification checklist</w:t>
      </w:r>
    </w:p>
    <w:p>
      <w:pPr>
        <w:pStyle w:val="ListBullet"/>
      </w:pPr>
      <w:r>
        <w:t>Procurement authority, competition, thresholds, protest, records, and purchasing method</w:t>
      </w:r>
    </w:p>
    <w:p>
      <w:pPr>
        <w:pStyle w:val="ListBullet"/>
      </w:pPr>
      <w:r>
        <w:t>Budget authority, funding restrictions, cost allocation, and life-cycle affordability</w:t>
      </w:r>
    </w:p>
    <w:p>
      <w:pPr>
        <w:pStyle w:val="ListBullet"/>
      </w:pPr>
      <w:r>
        <w:t>Data authority, privacy, retention, deletion, disclosure, and public-records obligations</w:t>
      </w:r>
    </w:p>
    <w:p>
      <w:pPr>
        <w:pStyle w:val="ListBullet"/>
      </w:pPr>
      <w:r>
        <w:t>Security assessment, identity, access, logging, incident, continuity, and recovery requirements</w:t>
      </w:r>
    </w:p>
    <w:p>
      <w:pPr>
        <w:pStyle w:val="ListBullet"/>
      </w:pPr>
      <w:r>
        <w:t>Accessibility, language access, civil rights, notice, explanation, correction, and appeal</w:t>
      </w:r>
    </w:p>
    <w:p>
      <w:pPr>
        <w:pStyle w:val="ListBullet"/>
      </w:pPr>
      <w:r>
        <w:t>Labor, workforce, acceptable use, public participation, governance, and oversight</w:t>
      </w:r>
    </w:p>
    <w:p>
      <w:pPr>
        <w:pStyle w:val="ListBullet"/>
      </w:pPr>
      <w:r>
        <w:t>Contract, intellectual property, government data, training use, subcontractors, change, audit, exit, and transition</w:t>
      </w:r>
    </w:p>
    <w:p>
      <w:pPr>
        <w:pStyle w:val="Heading1"/>
        <w:keepNext/>
      </w:pPr>
      <w:r>
        <w:t>Primary sources used for the method</w:t>
      </w:r>
    </w:p>
    <w:tbl>
      <w:tblPr>
        <w:tblStyle w:val="TableGrid"/>
        <w:tblW w:type="dxa" w:w="9360"/>
        <w:jc w:val="left"/>
        <w:tblLayout w:type="fixed"/>
        <w:tblLook w:firstColumn="1" w:firstRow="1" w:lastColumn="0" w:lastRow="0" w:noHBand="0" w:noVBand="1" w:val="04A0"/>
        <w:tblInd w:w="120" w:type="dxa"/>
      </w:tblPr>
      <w:tblGrid>
        <w:gridCol w:w="4200"/>
        <w:gridCol w:w="5160"/>
      </w:tblGrid>
      <w:tr>
        <w:trPr>
          <w:cantSplit/>
          <w:tblHeader w:val="true"/>
        </w:trPr>
        <w:tc>
          <w:tcPr>
            <w:tcW w:type="dxa" w:w="4200"/>
            <w:shd w:fill="E8EEF5"/>
            <w:tcMar>
              <w:top w:w="80" w:type="dxa"/>
              <w:start w:w="120" w:type="dxa"/>
              <w:bottom w:w="80" w:type="dxa"/>
              <w:end w:w="120" w:type="dxa"/>
            </w:tcMar>
            <w:vAlign w:val="top"/>
          </w:tcPr>
          <w:p>
            <w:r>
              <w:rPr>
                <w:b/>
                <w:color w:val="0F172A"/>
              </w:rPr>
              <w:t>Source</w:t>
            </w:r>
          </w:p>
        </w:tc>
        <w:tc>
          <w:tcPr>
            <w:tcW w:type="dxa" w:w="5160"/>
            <w:shd w:fill="E8EEF5"/>
            <w:tcMar>
              <w:top w:w="80" w:type="dxa"/>
              <w:start w:w="120" w:type="dxa"/>
              <w:bottom w:w="80" w:type="dxa"/>
              <w:end w:w="120" w:type="dxa"/>
            </w:tcMar>
            <w:vAlign w:val="top"/>
          </w:tcPr>
          <w:p>
            <w:r>
              <w:rPr>
                <w:b/>
                <w:color w:val="0F172A"/>
              </w:rPr>
              <w:t>URL</w:t>
            </w:r>
          </w:p>
        </w:tc>
      </w:tr>
      <w:tr>
        <w:trPr>
          <w:cantSplit/>
        </w:trPr>
        <w:tc>
          <w:tcPr>
            <w:tcW w:type="dxa" w:w="4200"/>
            <w:tcMar>
              <w:top w:w="80" w:type="dxa"/>
              <w:start w:w="120" w:type="dxa"/>
              <w:bottom w:w="80" w:type="dxa"/>
              <w:end w:w="120" w:type="dxa"/>
            </w:tcMar>
            <w:vAlign w:val="top"/>
          </w:tcPr>
          <w:p>
            <w:r>
              <w:t>Office of Management and Budget, M-25-22</w:t>
            </w:r>
          </w:p>
        </w:tc>
        <w:tc>
          <w:tcPr>
            <w:tcW w:type="dxa" w:w="5160"/>
            <w:tcMar>
              <w:top w:w="80" w:type="dxa"/>
              <w:start w:w="120" w:type="dxa"/>
              <w:bottom w:w="80" w:type="dxa"/>
              <w:end w:w="120" w:type="dxa"/>
            </w:tcMar>
            <w:vAlign w:val="top"/>
          </w:tcPr>
          <w:p>
            <w:r>
              <w:t>https://www.whitehouse.gov/wp-content/uploads/2025/02/M-25-22-Driving-Efficient-Acquisition-of-Artificial-Intelligence-in-Government.pdf</w:t>
            </w:r>
          </w:p>
        </w:tc>
      </w:tr>
      <w:tr>
        <w:trPr>
          <w:cantSplit/>
        </w:trPr>
        <w:tc>
          <w:tcPr>
            <w:tcW w:type="dxa" w:w="4200"/>
            <w:tcMar>
              <w:top w:w="80" w:type="dxa"/>
              <w:start w:w="120" w:type="dxa"/>
              <w:bottom w:w="80" w:type="dxa"/>
              <w:end w:w="120" w:type="dxa"/>
            </w:tcMar>
            <w:vAlign w:val="top"/>
          </w:tcPr>
          <w:p>
            <w:r>
              <w:t>U.S. Government Accountability Office, GAO-26-107859</w:t>
            </w:r>
          </w:p>
        </w:tc>
        <w:tc>
          <w:tcPr>
            <w:tcW w:type="dxa" w:w="5160"/>
            <w:tcMar>
              <w:top w:w="80" w:type="dxa"/>
              <w:start w:w="120" w:type="dxa"/>
              <w:bottom w:w="80" w:type="dxa"/>
              <w:end w:w="120" w:type="dxa"/>
            </w:tcMar>
            <w:vAlign w:val="top"/>
          </w:tcPr>
          <w:p>
            <w:r>
              <w:t>https://www.gao.gov/products/gao-26-107859</w:t>
            </w:r>
          </w:p>
        </w:tc>
      </w:tr>
      <w:tr>
        <w:trPr>
          <w:cantSplit/>
        </w:trPr>
        <w:tc>
          <w:tcPr>
            <w:tcW w:type="dxa" w:w="4200"/>
            <w:tcMar>
              <w:top w:w="80" w:type="dxa"/>
              <w:start w:w="120" w:type="dxa"/>
              <w:bottom w:w="80" w:type="dxa"/>
              <w:end w:w="120" w:type="dxa"/>
            </w:tcMar>
            <w:vAlign w:val="top"/>
          </w:tcPr>
          <w:p>
            <w:r>
              <w:t>National Institute of Standards and Technology, AI Risk Management Framework</w:t>
            </w:r>
          </w:p>
        </w:tc>
        <w:tc>
          <w:tcPr>
            <w:tcW w:type="dxa" w:w="5160"/>
            <w:tcMar>
              <w:top w:w="80" w:type="dxa"/>
              <w:start w:w="120" w:type="dxa"/>
              <w:bottom w:w="80" w:type="dxa"/>
              <w:end w:w="120" w:type="dxa"/>
            </w:tcMar>
            <w:vAlign w:val="top"/>
          </w:tcPr>
          <w:p>
            <w:r>
              <w:t>https://www.nist.gov/itl/ai-risk-management-framework</w:t>
            </w:r>
          </w:p>
        </w:tc>
      </w:tr>
      <w:tr>
        <w:trPr>
          <w:cantSplit/>
        </w:trPr>
        <w:tc>
          <w:tcPr>
            <w:tcW w:type="dxa" w:w="4200"/>
            <w:tcMar>
              <w:top w:w="80" w:type="dxa"/>
              <w:start w:w="120" w:type="dxa"/>
              <w:bottom w:w="80" w:type="dxa"/>
              <w:end w:w="120" w:type="dxa"/>
            </w:tcMar>
            <w:vAlign w:val="top"/>
          </w:tcPr>
          <w:p>
            <w:r>
              <w:t>National Institute of Standards and Technology, Generative AI Profile</w:t>
            </w:r>
          </w:p>
        </w:tc>
        <w:tc>
          <w:tcPr>
            <w:tcW w:type="dxa" w:w="5160"/>
            <w:tcMar>
              <w:top w:w="80" w:type="dxa"/>
              <w:start w:w="120" w:type="dxa"/>
              <w:bottom w:w="80" w:type="dxa"/>
              <w:end w:w="120" w:type="dxa"/>
            </w:tcMar>
            <w:vAlign w:val="top"/>
          </w:tcPr>
          <w:p>
            <w:r>
              <w:t>https://nvlpubs.nist.gov/nistpubs/ai/NIST.AI.600-1.pdf</w:t>
            </w:r>
          </w:p>
        </w:tc>
      </w:tr>
      <w:tr>
        <w:trPr>
          <w:cantSplit/>
        </w:trPr>
        <w:tc>
          <w:tcPr>
            <w:tcW w:type="dxa" w:w="4200"/>
            <w:tcMar>
              <w:top w:w="80" w:type="dxa"/>
              <w:start w:w="120" w:type="dxa"/>
              <w:bottom w:w="80" w:type="dxa"/>
              <w:end w:w="120" w:type="dxa"/>
            </w:tcMar>
            <w:vAlign w:val="top"/>
          </w:tcPr>
          <w:p>
            <w:r>
              <w:t>U.S. General Services Administration, AI Guide for Government</w:t>
            </w:r>
          </w:p>
        </w:tc>
        <w:tc>
          <w:tcPr>
            <w:tcW w:type="dxa" w:w="5160"/>
            <w:tcMar>
              <w:top w:w="80" w:type="dxa"/>
              <w:start w:w="120" w:type="dxa"/>
              <w:bottom w:w="80" w:type="dxa"/>
              <w:end w:w="120" w:type="dxa"/>
            </w:tcMar>
            <w:vAlign w:val="top"/>
          </w:tcPr>
          <w:p>
            <w:r>
              <w:t>https://coe.gsa.gov/coe/ai-guide-for-government/introduction/</w:t>
            </w:r>
          </w:p>
        </w:tc>
      </w:tr>
      <w:tr>
        <w:trPr>
          <w:cantSplit/>
        </w:trPr>
        <w:tc>
          <w:tcPr>
            <w:tcW w:type="dxa" w:w="4200"/>
            <w:tcMar>
              <w:top w:w="80" w:type="dxa"/>
              <w:start w:w="120" w:type="dxa"/>
              <w:bottom w:w="80" w:type="dxa"/>
              <w:end w:w="120" w:type="dxa"/>
            </w:tcMar>
            <w:vAlign w:val="top"/>
          </w:tcPr>
          <w:p>
            <w:r>
              <w:t>National Association of State Procurement Officials, State and Local Government Procurement: A Practical Guide</w:t>
            </w:r>
          </w:p>
        </w:tc>
        <w:tc>
          <w:tcPr>
            <w:tcW w:type="dxa" w:w="5160"/>
            <w:tcMar>
              <w:top w:w="80" w:type="dxa"/>
              <w:start w:w="120" w:type="dxa"/>
              <w:bottom w:w="80" w:type="dxa"/>
              <w:end w:w="120" w:type="dxa"/>
            </w:tcMar>
            <w:vAlign w:val="top"/>
          </w:tcPr>
          <w:p>
            <w:r>
              <w:t>https://www.naspo.org/research-and-innovation/practical-guide/</w:t>
            </w:r>
          </w:p>
        </w:tc>
      </w:tr>
      <w:tr>
        <w:trPr>
          <w:cantSplit/>
        </w:trPr>
        <w:tc>
          <w:tcPr>
            <w:tcW w:type="dxa" w:w="4200"/>
            <w:tcMar>
              <w:top w:w="80" w:type="dxa"/>
              <w:start w:w="120" w:type="dxa"/>
              <w:bottom w:w="80" w:type="dxa"/>
              <w:end w:w="120" w:type="dxa"/>
            </w:tcMar>
            <w:vAlign w:val="top"/>
          </w:tcPr>
          <w:p>
            <w:r>
              <w:t>U.S. Digital Services Playbook</w:t>
            </w:r>
          </w:p>
        </w:tc>
        <w:tc>
          <w:tcPr>
            <w:tcW w:type="dxa" w:w="5160"/>
            <w:tcMar>
              <w:top w:w="80" w:type="dxa"/>
              <w:start w:w="120" w:type="dxa"/>
              <w:bottom w:w="80" w:type="dxa"/>
              <w:end w:w="120" w:type="dxa"/>
            </w:tcMar>
            <w:vAlign w:val="top"/>
          </w:tcPr>
          <w:p>
            <w:r>
              <w:t>https://playbook.usds.gov/</w:t>
            </w:r>
          </w:p>
        </w:tc>
      </w:tr>
    </w:tbl>
    <w:p>
      <w:pPr>
        <w:spacing w:after="0"/>
      </w:pP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vAlign w:val="top"/>
            <w:shd w:fill="FFF7E6"/>
          </w:tcPr>
          <w:p>
            <w:pPr>
              <w:spacing w:after="60"/>
            </w:pPr>
            <w:r>
              <w:rPr>
                <w:b/>
                <w:color w:val="1F4D78"/>
              </w:rPr>
              <w:t>Source status</w:t>
            </w:r>
          </w:p>
          <w:p>
            <w:pPr>
              <w:spacing w:after="0"/>
            </w:pPr>
            <w:r>
              <w:t>Sources were selected and last verified by the publisher on August 26, 2026. Federal requirements do not automatically apply to state or local organizations. NIST materials are voluntary unless adopted or otherwise made applicable.</w:t>
            </w:r>
          </w:p>
        </w:tc>
      </w:tr>
    </w:tbl>
    <w:p>
      <w:pPr>
        <w:spacing w:after="0"/>
      </w:pPr>
    </w:p>
    <w:p>
      <w:pPr>
        <w:pStyle w:val="Heading1"/>
        <w:keepNext/>
      </w:pPr>
      <w:r>
        <w:t>Publisher and commercial disclosure</w:t>
      </w:r>
    </w:p>
    <w:p>
      <w:r>
        <w:t>JS Technology Solutions, Inc. publishes Right-Sized Public Tech and provides software and technology services. This example does not recommend a vendor, product, purchasing route, or contract language. Related commercial options may appear separately on the website with current product status, fit, and non-fit conditions.</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4B5563"/>
        <w:sz w:val="18"/>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Caption"/>
    </w:pPr>
    <w:r>
      <w:rPr>
        <w:rFonts w:ascii="Calibri" w:hAnsi="Calibri"/>
        <w:b/>
        <w:color w:val="0F766E"/>
        <w:sz w:val="16"/>
      </w:rPr>
      <w:t>RIGHT-SIZED PUBLIC TECH  |  WORKED AI PROCUREMENT EXAMPLE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