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Calibri" w:hAnsi="Calibri"/>
          <w:b/>
          <w:color w:val="0F172A"/>
          <w:sz w:val="56"/>
        </w:rPr>
        <w:t>Practitioner Review Packet</w:t>
      </w:r>
    </w:p>
    <w:p>
      <w:pPr>
        <w:pStyle w:val="Subtitle"/>
      </w:pPr>
      <w:r>
        <w:rPr>
          <w:rFonts w:ascii="Calibri" w:hAnsi="Calibri"/>
          <w:color w:val="0F766E"/>
          <w:sz w:val="28"/>
        </w:rPr>
        <w:t>AI procurement guidance for public teams</w:t>
      </w:r>
    </w:p>
    <w:p>
      <w:pPr>
        <w:spacing w:before="80" w:after="200"/>
        <w:ind w:left="160" w:right="160"/>
        <w:shd w:fill="FFF7E6"/>
        <w:pBdr>
          <w:top w:val="single" w:sz="8" w:space="6" w:color="D7DEE8"/>
          <w:left w:val="single" w:sz="8" w:space="6" w:color="D7DEE8"/>
          <w:bottom w:val="single" w:sz="8" w:space="6" w:color="D7DEE8"/>
          <w:right w:val="single" w:sz="8" w:space="6" w:color="D7DEE8"/>
        </w:pBdr>
      </w:pPr>
      <w:r>
        <w:rPr>
          <w:rFonts w:ascii="Calibri" w:hAnsi="Calibri"/>
          <w:b/>
          <w:color w:val="1F4D78"/>
          <w:sz w:val="22"/>
        </w:rPr>
        <w:t xml:space="preserve">External review status: </w:t>
      </w:r>
      <w:r>
        <w:rPr>
          <w:rFonts w:ascii="Calibri" w:hAnsi="Calibri"/>
          <w:color w:val="1F2937"/>
          <w:sz w:val="22"/>
        </w:rPr>
        <w:t>Prepared, not started. No external practitioner review, validation, endorsement, affiliation, or government approval is claimed.</w:t>
      </w:r>
    </w:p>
    <w:p>
      <w:r>
        <w:rPr>
          <w:rFonts w:ascii="Calibri" w:hAnsi="Calibri"/>
          <w:b/>
          <w:color w:val="1F2937"/>
          <w:sz w:val="22"/>
        </w:rPr>
        <w:t>Purpose:</w:t>
      </w:r>
      <w:r>
        <w:rPr>
          <w:rFonts w:ascii="Calibri" w:hAnsi="Calibri"/>
          <w:i w:val="0"/>
          <w:color w:val="1F2937"/>
          <w:sz w:val="22"/>
        </w:rPr>
        <w:t xml:space="preserve"> help a public-sector practitioner test the guide for operational usefulness, procurement realism, technical safeguards, and avoidable process burden.</w:t>
      </w:r>
    </w:p>
    <w:p>
      <w:r>
        <w:rPr>
          <w:rFonts w:ascii="Calibri" w:hAnsi="Calibri"/>
          <w:b/>
          <w:color w:val="1F2937"/>
          <w:sz w:val="22"/>
        </w:rPr>
        <w:t>Suggested review time:</w:t>
      </w:r>
      <w:r>
        <w:rPr>
          <w:rFonts w:ascii="Calibri" w:hAnsi="Calibri"/>
          <w:i w:val="0"/>
          <w:color w:val="1F2937"/>
          <w:sz w:val="22"/>
        </w:rPr>
        <w:t xml:space="preserve"> 30 to 45 minutes. Reviewers may annotate this file, return notes by email, or use the feedback record later in this packet.</w:t>
      </w:r>
    </w:p>
    <w:p>
      <w:r>
        <w:rPr>
          <w:rFonts w:ascii="Calibri" w:hAnsi="Calibri"/>
          <w:b/>
          <w:color w:val="1F2937"/>
          <w:sz w:val="22"/>
        </w:rPr>
        <w:t>Publisher disclosure:</w:t>
      </w:r>
      <w:r>
        <w:rPr>
          <w:rFonts w:ascii="Calibri" w:hAnsi="Calibri"/>
          <w:i w:val="0"/>
          <w:color w:val="1F2937"/>
          <w:sz w:val="22"/>
        </w:rPr>
        <w:t xml:space="preserve"> JS Technology Solutions, Inc. publishes Right-Sized Public Tech and is also a software vendor. The neutral procurement method comes first. Review does not create a client, partner, sponsor, advisory, or endorsement relationship.</w:t>
      </w:r>
    </w:p>
    <w:p>
      <w:pPr>
        <w:pStyle w:val="Heading1"/>
        <w:keepNext/>
      </w:pPr>
      <w:r>
        <w:t>Review boundaries</w:t>
      </w:r>
    </w:p>
    <w:p>
      <w:r>
        <w:rPr>
          <w:rFonts w:ascii="Calibri" w:hAnsi="Calibri"/>
          <w:b/>
          <w:color w:val="1F2937"/>
          <w:sz w:val="22"/>
        </w:rPr>
        <w:t>Public information only:</w:t>
      </w:r>
      <w:r>
        <w:rPr>
          <w:rFonts w:ascii="Calibri" w:hAnsi="Calibri"/>
          <w:i w:val="0"/>
          <w:color w:val="1F2937"/>
          <w:sz w:val="22"/>
        </w:rPr>
        <w:t xml:space="preserve"> Do not include confidential, procurement-sensitive, employer-owned, student, personnel, resident, vendor, security, or incident information.</w:t>
      </w:r>
    </w:p>
    <w:p>
      <w:r>
        <w:rPr>
          <w:rFonts w:ascii="Calibri" w:hAnsi="Calibri"/>
          <w:b/>
          <w:color w:val="1F2937"/>
          <w:sz w:val="22"/>
        </w:rPr>
        <w:t>No local legal conclusion:</w:t>
      </w:r>
      <w:r>
        <w:rPr>
          <w:rFonts w:ascii="Calibri" w:hAnsi="Calibri"/>
          <w:i w:val="0"/>
          <w:color w:val="1F2937"/>
          <w:sz w:val="22"/>
        </w:rPr>
        <w:t xml:space="preserve"> The materials are not legal advice or a universal statement of procurement requirements. Responsible local officials must verify current authority, law, policy, accessibility, privacy, security, labor, records, funding, and purchasing rules.</w:t>
      </w:r>
    </w:p>
    <w:p>
      <w:r>
        <w:rPr>
          <w:rFonts w:ascii="Calibri" w:hAnsi="Calibri"/>
          <w:b/>
          <w:color w:val="1F2937"/>
          <w:sz w:val="22"/>
        </w:rPr>
        <w:t>No endorsement implied:</w:t>
      </w:r>
      <w:r>
        <w:rPr>
          <w:rFonts w:ascii="Calibri" w:hAnsi="Calibri"/>
          <w:i w:val="0"/>
          <w:color w:val="1F2937"/>
          <w:sz w:val="22"/>
        </w:rPr>
        <w:t xml:space="preserve"> A review tests the material. It does not mean the reviewer or the reviewer's organization endorses the guide, publisher, or any product.</w:t>
      </w:r>
    </w:p>
    <w:p>
      <w:r>
        <w:rPr>
          <w:rFonts w:ascii="Calibri" w:hAnsi="Calibri"/>
          <w:b/>
          <w:color w:val="1F2937"/>
          <w:sz w:val="22"/>
        </w:rPr>
        <w:t>Attribution by permission only:</w:t>
      </w:r>
      <w:r>
        <w:rPr>
          <w:rFonts w:ascii="Calibri" w:hAnsi="Calibri"/>
          <w:i w:val="0"/>
          <w:color w:val="1F2937"/>
          <w:sz w:val="22"/>
        </w:rPr>
        <w:t xml:space="preserve"> Anonymous acknowledgment is the default. A name, title, organization, quotation, or logo may be published only with explicit written approval of the exact wording.</w:t>
      </w:r>
    </w:p>
    <w:p>
      <w:pPr>
        <w:pStyle w:val="Heading1"/>
        <w:keepNext/>
      </w:pPr>
      <w:r>
        <w:t>Materials to review</w:t>
      </w:r>
    </w:p>
    <w:p>
      <w:pPr>
        <w:spacing w:after="80"/>
      </w:pPr>
      <w:r>
        <w:rPr>
          <w:rFonts w:ascii="Calibri" w:hAnsi="Calibri"/>
          <w:b/>
          <w:color w:val="1F2937"/>
          <w:sz w:val="22"/>
        </w:rPr>
        <w:t xml:space="preserve">Core guide: </w:t>
      </w:r>
      <w:hyperlink r:id="rId11">
        <w:r>
          <w:rPr>
            <w:color w:val="2E74B5"/>
            <w:u w:val="single"/>
          </w:rPr>
          <w:t>AI procurement scoping guide</w:t>
        </w:r>
      </w:hyperlink>
    </w:p>
    <w:p>
      <w:pPr>
        <w:spacing w:after="80"/>
      </w:pPr>
      <w:r>
        <w:rPr>
          <w:rFonts w:ascii="Calibri" w:hAnsi="Calibri"/>
          <w:b/>
          <w:color w:val="1F2937"/>
          <w:sz w:val="22"/>
        </w:rPr>
        <w:t xml:space="preserve">Worked example: </w:t>
      </w:r>
      <w:hyperlink r:id="rId12">
        <w:r>
          <w:rPr>
            <w:color w:val="2E74B5"/>
            <w:u w:val="single"/>
          </w:rPr>
          <w:t>Fictional AI procurement evaluation pack</w:t>
        </w:r>
      </w:hyperlink>
    </w:p>
    <w:p>
      <w:pPr>
        <w:spacing w:after="80"/>
      </w:pPr>
      <w:r>
        <w:rPr>
          <w:rFonts w:ascii="Calibri" w:hAnsi="Calibri"/>
          <w:b/>
          <w:color w:val="1F2937"/>
          <w:sz w:val="22"/>
        </w:rPr>
        <w:t xml:space="preserve">Policies: </w:t>
      </w:r>
      <w:hyperlink r:id="rId13">
        <w:r>
          <w:rPr>
            <w:color w:val="2E74B5"/>
            <w:u w:val="single"/>
          </w:rPr>
          <w:t>Standards, disclosures, and corrections</w:t>
        </w:r>
      </w:hyperlink>
    </w:p>
    <w:p>
      <w:r>
        <w:br w:type="page"/>
      </w:r>
    </w:p>
    <w:p>
      <w:pPr>
        <w:pStyle w:val="Heading1"/>
        <w:keepNext/>
      </w:pPr>
      <w:r>
        <w:t>Reviewer profile</w:t>
      </w:r>
    </w:p>
    <w:p>
      <w:pPr>
        <w:spacing w:before="80" w:after="40"/>
      </w:pPr>
      <w:r>
        <w:rPr>
          <w:rFonts w:ascii="Calibri" w:hAnsi="Calibri"/>
          <w:b/>
          <w:color w:val="0F172A"/>
          <w:sz w:val="22"/>
        </w:rPr>
        <w:t xml:space="preserve">Reviewer name or identifier: </w:t>
      </w:r>
      <w:r>
        <w:rPr>
          <w:rFonts w:ascii="Calibri" w:hAnsi="Calibri"/>
          <w:i/>
          <w:color w:val="4B5563"/>
          <w:sz w:val="22"/>
        </w:rPr>
        <w:t>Optional. Leave blank for anonymous internal handling.</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Perspective: </w:t>
      </w:r>
      <w:r>
        <w:rPr>
          <w:rFonts w:ascii="Calibri" w:hAnsi="Calibri"/>
          <w:i/>
          <w:color w:val="4B5563"/>
          <w:sz w:val="22"/>
        </w:rPr>
        <w:t>Procurement or finance, technology or security, operational or risk, or another relevant perspective.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Relevant experience: </w:t>
      </w:r>
      <w:r>
        <w:rPr>
          <w:rFonts w:ascii="Calibri" w:hAnsi="Calibri"/>
          <w:i/>
          <w:color w:val="4B5563"/>
          <w:sz w:val="22"/>
        </w:rPr>
        <w:t>Optional. Describe only what you are comfortable having the publisher retain privately.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1"/>
        <w:keepNext/>
      </w:pPr>
      <w:r>
        <w:t>How to review the guide</w:t>
      </w:r>
    </w:p>
    <w:p>
      <w:pPr>
        <w:pStyle w:val="Heading2"/>
        <w:keepNext/>
      </w:pPr>
      <w:r>
        <w:t>1. Read for the public decision</w:t>
      </w:r>
    </w:p>
    <w:p>
      <w:r>
        <w:rPr>
          <w:rFonts w:ascii="Calibri" w:hAnsi="Calibri"/>
          <w:i w:val="0"/>
          <w:color w:val="1F2937"/>
          <w:sz w:val="22"/>
        </w:rPr>
        <w:t>Check whether the guide helps a team define the operating outcome, affected people, alternatives, data boundary, human authority, evidence, evaluation, acceptance, monitoring, and exit conditions before vendor selection takes over.</w:t>
      </w:r>
    </w:p>
    <w:p>
      <w:pPr>
        <w:pStyle w:val="Heading2"/>
        <w:keepNext/>
      </w:pPr>
      <w:r>
        <w:t>2. Test the words against a real workflow</w:t>
      </w:r>
    </w:p>
    <w:p>
      <w:r>
        <w:rPr>
          <w:rFonts w:ascii="Calibri" w:hAnsi="Calibri"/>
          <w:i w:val="0"/>
          <w:color w:val="1F2937"/>
          <w:sz w:val="22"/>
        </w:rPr>
        <w:t>Imagine a team with limited capacity and mixed technical maturity. Mark anything that cannot be understood, evidenced, evaluated, contracted, monitored, or stopped in practice.</w:t>
      </w:r>
    </w:p>
    <w:p>
      <w:pPr>
        <w:pStyle w:val="Heading2"/>
        <w:keepNext/>
      </w:pPr>
      <w:r>
        <w:t>3. Separate a defect from a local variation</w:t>
      </w:r>
    </w:p>
    <w:p>
      <w:r>
        <w:rPr>
          <w:rFonts w:ascii="Calibri" w:hAnsi="Calibri"/>
          <w:i w:val="0"/>
          <w:color w:val="1F2937"/>
          <w:sz w:val="22"/>
        </w:rPr>
        <w:t>A defect is misleading, incomplete, untestable, or needlessly burdensome. A local variation belongs in the responsible local-verification step instead of being generalized.</w:t>
      </w:r>
    </w:p>
    <w:p>
      <w:pPr>
        <w:pStyle w:val="Heading2"/>
        <w:keepNext/>
      </w:pPr>
      <w:r>
        <w:t>4. Prioritize decision-changing comments</w:t>
      </w:r>
    </w:p>
    <w:p>
      <w:r>
        <w:rPr>
          <w:rFonts w:ascii="Calibri" w:hAnsi="Calibri"/>
          <w:i w:val="0"/>
          <w:color w:val="1F2937"/>
          <w:sz w:val="22"/>
        </w:rPr>
        <w:t>Label each material comment as critical, material, or editorial. Critical means the guidance could create an unsafe or unlawful direction if followed. Material means the issue changes scope, evidence, evaluation, control, or exit. Editorial means clarity or usability only.</w:t>
      </w:r>
    </w:p>
    <w:p>
      <w:pPr>
        <w:pStyle w:val="Heading2"/>
        <w:keepNext/>
      </w:pPr>
      <w:r>
        <w:t>5. Return only what may be retained</w:t>
      </w:r>
    </w:p>
    <w:p>
      <w:r>
        <w:rPr>
          <w:rFonts w:ascii="Calibri" w:hAnsi="Calibri"/>
          <w:i w:val="0"/>
          <w:color w:val="1F2937"/>
          <w:sz w:val="22"/>
        </w:rPr>
        <w:t>Delete any comment that should not be retained by the publisher. Do not attach protected records. Email the completed packet or notes to jserle@jstech-inc.com with the subject “Right-Sized Public Tech practitioner review.”</w:t>
      </w:r>
    </w:p>
    <w:p>
      <w:pPr>
        <w:spacing w:before="80" w:after="200"/>
        <w:ind w:left="160" w:right="160"/>
        <w:shd w:fill="E8EEF5"/>
        <w:pBdr>
          <w:top w:val="single" w:sz="8" w:space="6" w:color="D7DEE8"/>
          <w:left w:val="single" w:sz="8" w:space="6" w:color="D7DEE8"/>
          <w:bottom w:val="single" w:sz="8" w:space="6" w:color="D7DEE8"/>
          <w:right w:val="single" w:sz="8" w:space="6" w:color="D7DEE8"/>
        </w:pBdr>
      </w:pPr>
      <w:r>
        <w:rPr>
          <w:rFonts w:ascii="Calibri" w:hAnsi="Calibri"/>
          <w:b/>
          <w:color w:val="1F4D78"/>
          <w:sz w:val="22"/>
        </w:rPr>
        <w:t xml:space="preserve">Useful review standard: </w:t>
      </w:r>
      <w:r>
        <w:rPr>
          <w:rFonts w:ascii="Calibri" w:hAnsi="Calibri"/>
          <w:color w:val="1F2937"/>
          <w:sz w:val="22"/>
        </w:rPr>
        <w:t>The best comment names the location, the problem, the decision it could affect, and a practical correction. A reviewer does not need to rewrite the guide.</w:t>
      </w:r>
    </w:p>
    <w:p>
      <w:pPr>
        <w:pStyle w:val="Heading1"/>
        <w:keepNext/>
      </w:pPr>
      <w:r>
        <w:t>Perspective-specific prompts</w:t>
      </w:r>
    </w:p>
    <w:p>
      <w:pPr>
        <w:pStyle w:val="Heading2"/>
        <w:keepNext/>
      </w:pPr>
      <w:r>
        <w:t>Procurement or finance</w:t>
      </w:r>
    </w:p>
    <w:p>
      <w:r>
        <w:rPr>
          <w:rFonts w:ascii="Calibri" w:hAnsi="Calibri"/>
          <w:i w:val="0"/>
          <w:color w:val="1F2937"/>
          <w:sz w:val="22"/>
        </w:rPr>
        <w:t>Test whether the artifacts support market research, comparable offers, whole-life cost, mandatory gates, evaluator independence, change control, records, and a locally lawful purchasing path without inventing universal thresholds.</w:t>
      </w:r>
    </w:p>
    <w:p>
      <w:pPr>
        <w:pStyle w:val="Heading2"/>
        <w:keepNext/>
      </w:pPr>
      <w:r>
        <w:t>Technology or security</w:t>
      </w:r>
    </w:p>
    <w:p>
      <w:r>
        <w:rPr>
          <w:rFonts w:ascii="Calibri" w:hAnsi="Calibri"/>
          <w:i w:val="0"/>
          <w:color w:val="1F2937"/>
          <w:sz w:val="22"/>
        </w:rPr>
        <w:t>Test whether data flows, integrations, access, logging, model or service changes, evaluation evidence, incident responsibilities, monitoring, export, retention, and exit can be verified rather than promised.</w:t>
      </w:r>
    </w:p>
    <w:p>
      <w:pPr>
        <w:pStyle w:val="Heading2"/>
        <w:keepNext/>
      </w:pPr>
      <w:r>
        <w:t>Operational, legal, privacy, accessibility, audit, or risk</w:t>
      </w:r>
    </w:p>
    <w:p>
      <w:r>
        <w:rPr>
          <w:rFonts w:ascii="Calibri" w:hAnsi="Calibri"/>
          <w:i w:val="0"/>
          <w:color w:val="1F2937"/>
          <w:sz w:val="22"/>
        </w:rPr>
        <w:t>Test whether affected people, human authority, appeals, accessibility, continuity, records, workforce impacts, failure modes, oversight, and unintended consequences are addressed at the right stage.</w:t>
      </w:r>
    </w:p>
    <w:p>
      <w:pPr>
        <w:pStyle w:val="Heading1"/>
        <w:keepNext/>
      </w:pPr>
      <w:r>
        <w:t>Seven decision questions</w:t>
      </w:r>
    </w:p>
    <w:p>
      <w:pPr>
        <w:pStyle w:val="Heading2"/>
        <w:keepNext/>
      </w:pPr>
      <w:r>
        <w:t>1. Would this help a public team define an AI procurement before vendor selection begins?</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2. Which question, artifact, or risk is missing?</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3. Which language assumes a jurisdiction, policy, staffing level, data condition, or technical maturity that may not exist?</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4. Can an evaluator test the proposed requirements and evidence using the same scenario and scoring rules?</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5. Where could a vendor satisfy the words while avoiding the intended safeguard?</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6. What should be removed because it adds process without changing a decision?</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7. Would you share this with a colleague? Why or why not?</w:t>
      </w:r>
    </w:p>
    <w:p>
      <w:pPr>
        <w:spacing w:before="80" w:after="40"/>
      </w:pPr>
      <w:r>
        <w:rPr>
          <w:rFonts w:ascii="Calibri" w:hAnsi="Calibri"/>
          <w:b/>
          <w:color w:val="0F172A"/>
          <w:sz w:val="22"/>
        </w:rPr>
        <w:t xml:space="preserve">Response: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1"/>
        <w:keepNext/>
        <w:pageBreakBefore/>
      </w:pPr>
      <w:r>
        <w:t>Section review</w:t>
      </w:r>
    </w:p>
    <w:p>
      <w:pPr>
        <w:pStyle w:val="Heading2"/>
        <w:keepNext/>
      </w:pPr>
      <w:r>
        <w:t>Problem fit and alternatives</w:t>
      </w:r>
    </w:p>
    <w:p>
      <w:r>
        <w:rPr>
          <w:rFonts w:ascii="Calibri" w:hAnsi="Calibri"/>
          <w:i w:val="0"/>
          <w:color w:val="1F2937"/>
          <w:sz w:val="22"/>
        </w:rPr>
        <w:t>Does the guide help the team test process repair, better use of an existing system, a smaller scope, and a bounded pilot before assuming an AI purchase?</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People, authority, and impact</w:t>
      </w:r>
    </w:p>
    <w:p>
      <w:r>
        <w:rPr>
          <w:rFonts w:ascii="Calibri" w:hAnsi="Calibri"/>
          <w:i w:val="0"/>
          <w:color w:val="1F2937"/>
          <w:sz w:val="22"/>
        </w:rPr>
        <w:t>Are decision rights, human review, appeals, accessibility, workforce effects, and affected communities treated as design inputs rather than afterthoughts?</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Data and technical boundary</w:t>
      </w:r>
    </w:p>
    <w:p>
      <w:r>
        <w:rPr>
          <w:rFonts w:ascii="Calibri" w:hAnsi="Calibri"/>
          <w:i w:val="0"/>
          <w:color w:val="1F2937"/>
          <w:sz w:val="22"/>
        </w:rPr>
        <w:t>Can the team identify necessary data, prohibited data, quality limits, access, integrations, logging, retention, export, and security assumptions?</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Market research and evaluation</w:t>
      </w:r>
    </w:p>
    <w:p>
      <w:r>
        <w:rPr>
          <w:rFonts w:ascii="Calibri" w:hAnsi="Calibri"/>
          <w:i w:val="0"/>
          <w:color w:val="1F2937"/>
          <w:sz w:val="22"/>
        </w:rPr>
        <w:t>Are requirements outcome-based, testable, comparable, and resistant to a polished but non-evidenced demonstration?</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Contract, acceptance, and monitoring</w:t>
      </w:r>
    </w:p>
    <w:p>
      <w:r>
        <w:rPr>
          <w:rFonts w:ascii="Calibri" w:hAnsi="Calibri"/>
          <w:i w:val="0"/>
          <w:color w:val="1F2937"/>
          <w:sz w:val="22"/>
        </w:rPr>
        <w:t>Can the team define service changes, performance evidence, incidents, acceptance, ongoing monitoring, change control, and remedies?</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ageBreakBefore/>
      </w:pPr>
      <w:r>
        <w:t>Pilot and exit</w:t>
      </w:r>
    </w:p>
    <w:p>
      <w:r>
        <w:rPr>
          <w:rFonts w:ascii="Calibri" w:hAnsi="Calibri"/>
          <w:i w:val="0"/>
          <w:color w:val="1F2937"/>
          <w:sz w:val="22"/>
        </w:rPr>
        <w:t>Is the test bounded, reversible, and clear about continuation, stop conditions, data return, deletion, transition, and lessons learned?</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2"/>
        <w:keepNext/>
      </w:pPr>
      <w:r>
        <w:t>Worked example and editable files</w:t>
      </w:r>
    </w:p>
    <w:p>
      <w:r>
        <w:rPr>
          <w:rFonts w:ascii="Calibri" w:hAnsi="Calibri"/>
          <w:i w:val="0"/>
          <w:color w:val="1F2937"/>
          <w:sz w:val="22"/>
        </w:rPr>
        <w:t>Do the fictional example, Word pack, and Excel workbook make the method easier to apply without being mistaken for local legal or policy requirements?</w:t>
      </w:r>
    </w:p>
    <w:p>
      <w:pPr>
        <w:spacing w:before="80" w:after="40"/>
      </w:pPr>
      <w:r>
        <w:rPr>
          <w:rFonts w:ascii="Calibri" w:hAnsi="Calibri"/>
          <w:b/>
          <w:color w:val="0F172A"/>
          <w:sz w:val="22"/>
        </w:rPr>
        <w:t xml:space="preserve">Finding: </w:t>
      </w:r>
      <w:r>
        <w:rPr>
          <w:rFonts w:ascii="Calibri" w:hAnsi="Calibri"/>
          <w:i/>
          <w:color w:val="4B5563"/>
          <w:sz w:val="22"/>
        </w:rPr>
        <w:t>Name the exact location and what is unclear, missing, untestable, or unnecessary.</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Decision impact: </w:t>
      </w:r>
      <w:r>
        <w:rPr>
          <w:rFonts w:ascii="Calibri" w:hAnsi="Calibri"/>
          <w:i/>
          <w:color w:val="4B5563"/>
          <w:sz w:val="22"/>
        </w:rPr>
        <w:t>State which public decision, control, evaluation, or handoff the finding affects.</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Suggested correction: </w:t>
      </w:r>
      <w:r>
        <w:rPr>
          <w:rFonts w:ascii="Calibri" w:hAnsi="Calibri"/>
          <w:i/>
          <w:color w:val="4B5563"/>
          <w:sz w:val="22"/>
        </w:rPr>
        <w:t>Optional. Give the smallest useful change.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r>
        <w:br w:type="page"/>
      </w:r>
    </w:p>
    <w:p>
      <w:pPr>
        <w:pStyle w:val="Heading1"/>
        <w:keepNext/>
      </w:pPr>
      <w:r>
        <w:t>Material feedback record</w:t>
      </w:r>
    </w:p>
    <w:p>
      <w:r>
        <w:rPr>
          <w:rFonts w:ascii="Calibri" w:hAnsi="Calibri"/>
          <w:i w:val="0"/>
          <w:color w:val="1F2937"/>
          <w:sz w:val="22"/>
        </w:rPr>
        <w:t>Use one row per material comment. Add rows as needed. Do not include private contact details or protected information.</w:t>
      </w:r>
    </w:p>
    <w:tbl>
      <w:tblPr>
        <w:tblStyle w:val="TableGrid"/>
        <w:tblW w:type="dxa" w:w="9360"/>
        <w:jc w:val="left"/>
        <w:tblLayout w:type="fixed"/>
        <w:tblLook w:firstColumn="1" w:firstRow="1" w:lastColumn="0" w:lastRow="0" w:noHBand="0" w:noVBand="1" w:val="04A0"/>
        <w:tblInd w:w="120" w:type="dxa"/>
      </w:tblPr>
      <w:tblGrid>
        <w:gridCol w:w="720"/>
        <w:gridCol w:w="1240"/>
        <w:gridCol w:w="2100"/>
        <w:gridCol w:w="1740"/>
        <w:gridCol w:w="2180"/>
        <w:gridCol w:w="1380"/>
      </w:tblGrid>
      <w:tr>
        <w:trPr>
          <w:cantSplit/>
          <w:tblHeader w:val="true"/>
        </w:trPr>
        <w:tc>
          <w:tcPr>
            <w:tcW w:type="dxa" w:w="720"/>
            <w:shd w:fill="E8EEF5"/>
            <w:tcMar>
              <w:top w:w="100" w:type="dxa"/>
              <w:start w:w="120" w:type="dxa"/>
              <w:bottom w:w="100" w:type="dxa"/>
              <w:end w:w="120" w:type="dxa"/>
            </w:tcMar>
            <w:vAlign w:val="center"/>
          </w:tcPr>
          <w:p>
            <w:pPr>
              <w:jc w:val="center"/>
            </w:pPr>
            <w:r>
              <w:rPr>
                <w:rFonts w:ascii="Calibri" w:hAnsi="Calibri"/>
                <w:b/>
                <w:color w:val="0F172A"/>
                <w:sz w:val="18"/>
              </w:rPr>
              <w:t>ID</w:t>
            </w:r>
          </w:p>
        </w:tc>
        <w:tc>
          <w:tcPr>
            <w:tcW w:type="dxa" w:w="1240"/>
            <w:shd w:fill="E8EEF5"/>
            <w:tcMar>
              <w:top w:w="100" w:type="dxa"/>
              <w:start w:w="120" w:type="dxa"/>
              <w:bottom w:w="100" w:type="dxa"/>
              <w:end w:w="120" w:type="dxa"/>
            </w:tcMar>
            <w:vAlign w:val="center"/>
          </w:tcPr>
          <w:p>
            <w:pPr>
              <w:jc w:val="left"/>
            </w:pPr>
            <w:r>
              <w:rPr>
                <w:rFonts w:ascii="Calibri" w:hAnsi="Calibri"/>
                <w:b/>
                <w:color w:val="0F172A"/>
                <w:sz w:val="18"/>
              </w:rPr>
              <w:t>Guide location</w:t>
            </w:r>
          </w:p>
        </w:tc>
        <w:tc>
          <w:tcPr>
            <w:tcW w:type="dxa" w:w="2100"/>
            <w:shd w:fill="E8EEF5"/>
            <w:tcMar>
              <w:top w:w="100" w:type="dxa"/>
              <w:start w:w="120" w:type="dxa"/>
              <w:bottom w:w="100" w:type="dxa"/>
              <w:end w:w="120" w:type="dxa"/>
            </w:tcMar>
            <w:vAlign w:val="center"/>
          </w:tcPr>
          <w:p>
            <w:pPr>
              <w:jc w:val="left"/>
            </w:pPr>
            <w:r>
              <w:rPr>
                <w:rFonts w:ascii="Calibri" w:hAnsi="Calibri"/>
                <w:b/>
                <w:color w:val="0F172A"/>
                <w:sz w:val="18"/>
              </w:rPr>
              <w:t>Finding</w:t>
            </w:r>
          </w:p>
        </w:tc>
        <w:tc>
          <w:tcPr>
            <w:tcW w:type="dxa" w:w="1740"/>
            <w:shd w:fill="E8EEF5"/>
            <w:tcMar>
              <w:top w:w="100" w:type="dxa"/>
              <w:start w:w="120" w:type="dxa"/>
              <w:bottom w:w="100" w:type="dxa"/>
              <w:end w:w="120" w:type="dxa"/>
            </w:tcMar>
            <w:vAlign w:val="center"/>
          </w:tcPr>
          <w:p>
            <w:pPr>
              <w:jc w:val="left"/>
            </w:pPr>
            <w:r>
              <w:rPr>
                <w:rFonts w:ascii="Calibri" w:hAnsi="Calibri"/>
                <w:b/>
                <w:color w:val="0F172A"/>
                <w:sz w:val="18"/>
              </w:rPr>
              <w:t>Decision impact</w:t>
            </w:r>
          </w:p>
        </w:tc>
        <w:tc>
          <w:tcPr>
            <w:tcW w:type="dxa" w:w="2180"/>
            <w:shd w:fill="E8EEF5"/>
            <w:tcMar>
              <w:top w:w="100" w:type="dxa"/>
              <w:start w:w="120" w:type="dxa"/>
              <w:bottom w:w="100" w:type="dxa"/>
              <w:end w:w="120" w:type="dxa"/>
            </w:tcMar>
            <w:vAlign w:val="center"/>
          </w:tcPr>
          <w:p>
            <w:pPr>
              <w:jc w:val="left"/>
            </w:pPr>
            <w:r>
              <w:rPr>
                <w:rFonts w:ascii="Calibri" w:hAnsi="Calibri"/>
                <w:b/>
                <w:color w:val="0F172A"/>
                <w:sz w:val="18"/>
              </w:rPr>
              <w:t>Suggested change</w:t>
            </w:r>
          </w:p>
        </w:tc>
        <w:tc>
          <w:tcPr>
            <w:tcW w:type="dxa" w:w="1380"/>
            <w:shd w:fill="E8EEF5"/>
            <w:tcMar>
              <w:top w:w="100" w:type="dxa"/>
              <w:start w:w="120" w:type="dxa"/>
              <w:bottom w:w="100" w:type="dxa"/>
              <w:end w:w="120" w:type="dxa"/>
            </w:tcMar>
            <w:vAlign w:val="center"/>
          </w:tcPr>
          <w:p>
            <w:pPr>
              <w:jc w:val="center"/>
            </w:pPr>
            <w:r>
              <w:rPr>
                <w:rFonts w:ascii="Calibri" w:hAnsi="Calibri"/>
                <w:b/>
                <w:color w:val="0F172A"/>
                <w:sz w:val="18"/>
              </w:rPr>
              <w:t>Priority</w:t>
            </w:r>
          </w:p>
        </w:tc>
      </w:tr>
      <w:tr>
        <w:trPr>
          <w:cantSplit/>
        </w:trPr>
        <w:tc>
          <w:tcPr>
            <w:tcW w:type="dxa" w:w="720"/>
            <w:tcMar>
              <w:top w:w="100" w:type="dxa"/>
              <w:start w:w="120" w:type="dxa"/>
              <w:bottom w:w="100" w:type="dxa"/>
              <w:end w:w="120" w:type="dxa"/>
            </w:tcMar>
            <w:vAlign w:val="center"/>
          </w:tcPr>
          <w:p>
            <w:pPr>
              <w:jc w:val="center"/>
            </w:pPr>
            <w:r>
              <w:rPr>
                <w:rFonts w:ascii="Calibri" w:hAnsi="Calibri"/>
                <w:i/>
                <w:color w:val="4B5563"/>
                <w:sz w:val="17"/>
              </w:rPr>
              <w:t>R-001</w:t>
            </w:r>
          </w:p>
        </w:tc>
        <w:tc>
          <w:tcPr>
            <w:tcW w:type="dxa" w:w="12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0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7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8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380"/>
            <w:tcMar>
              <w:top w:w="100" w:type="dxa"/>
              <w:start w:w="120" w:type="dxa"/>
              <w:bottom w:w="100" w:type="dxa"/>
              <w:end w:w="120" w:type="dxa"/>
            </w:tcMar>
            <w:vAlign w:val="center"/>
          </w:tcPr>
          <w:p>
            <w:pPr>
              <w:jc w:val="center"/>
            </w:pPr>
            <w:r>
              <w:rPr>
                <w:rFonts w:ascii="Calibri" w:hAnsi="Calibri"/>
                <w:i/>
                <w:color w:val="4B5563"/>
                <w:sz w:val="17"/>
              </w:rPr>
              <w:t>Critical / Material / Editorial</w:t>
            </w:r>
          </w:p>
        </w:tc>
      </w:tr>
      <w:tr>
        <w:trPr>
          <w:cantSplit/>
        </w:trPr>
        <w:tc>
          <w:tcPr>
            <w:tcW w:type="dxa" w:w="720"/>
            <w:tcMar>
              <w:top w:w="100" w:type="dxa"/>
              <w:start w:w="120" w:type="dxa"/>
              <w:bottom w:w="100" w:type="dxa"/>
              <w:end w:w="120" w:type="dxa"/>
            </w:tcMar>
            <w:vAlign w:val="center"/>
          </w:tcPr>
          <w:p>
            <w:pPr>
              <w:jc w:val="center"/>
            </w:pPr>
            <w:r>
              <w:rPr>
                <w:rFonts w:ascii="Calibri" w:hAnsi="Calibri"/>
                <w:i/>
                <w:color w:val="4B5563"/>
                <w:sz w:val="17"/>
              </w:rPr>
              <w:t>R-002</w:t>
            </w:r>
          </w:p>
        </w:tc>
        <w:tc>
          <w:tcPr>
            <w:tcW w:type="dxa" w:w="12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0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7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8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380"/>
            <w:tcMar>
              <w:top w:w="100" w:type="dxa"/>
              <w:start w:w="120" w:type="dxa"/>
              <w:bottom w:w="100" w:type="dxa"/>
              <w:end w:w="120" w:type="dxa"/>
            </w:tcMar>
            <w:vAlign w:val="center"/>
          </w:tcPr>
          <w:p>
            <w:pPr>
              <w:jc w:val="center"/>
            </w:pPr>
            <w:r>
              <w:rPr>
                <w:rFonts w:ascii="Calibri" w:hAnsi="Calibri"/>
                <w:i/>
                <w:color w:val="4B5563"/>
                <w:sz w:val="17"/>
              </w:rPr>
              <w:t>Critical / Material / Editorial</w:t>
            </w:r>
          </w:p>
        </w:tc>
      </w:tr>
      <w:tr>
        <w:trPr>
          <w:cantSplit/>
        </w:trPr>
        <w:tc>
          <w:tcPr>
            <w:tcW w:type="dxa" w:w="720"/>
            <w:tcMar>
              <w:top w:w="100" w:type="dxa"/>
              <w:start w:w="120" w:type="dxa"/>
              <w:bottom w:w="100" w:type="dxa"/>
              <w:end w:w="120" w:type="dxa"/>
            </w:tcMar>
            <w:vAlign w:val="center"/>
          </w:tcPr>
          <w:p>
            <w:pPr>
              <w:jc w:val="center"/>
            </w:pPr>
            <w:r>
              <w:rPr>
                <w:rFonts w:ascii="Calibri" w:hAnsi="Calibri"/>
                <w:i/>
                <w:color w:val="4B5563"/>
                <w:sz w:val="17"/>
              </w:rPr>
              <w:t>R-003</w:t>
            </w:r>
          </w:p>
        </w:tc>
        <w:tc>
          <w:tcPr>
            <w:tcW w:type="dxa" w:w="12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0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7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8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380"/>
            <w:tcMar>
              <w:top w:w="100" w:type="dxa"/>
              <w:start w:w="120" w:type="dxa"/>
              <w:bottom w:w="100" w:type="dxa"/>
              <w:end w:w="120" w:type="dxa"/>
            </w:tcMar>
            <w:vAlign w:val="center"/>
          </w:tcPr>
          <w:p>
            <w:pPr>
              <w:jc w:val="center"/>
            </w:pPr>
            <w:r>
              <w:rPr>
                <w:rFonts w:ascii="Calibri" w:hAnsi="Calibri"/>
                <w:i/>
                <w:color w:val="4B5563"/>
                <w:sz w:val="17"/>
              </w:rPr>
              <w:t>Critical / Material / Editorial</w:t>
            </w:r>
          </w:p>
        </w:tc>
      </w:tr>
      <w:tr>
        <w:trPr>
          <w:cantSplit/>
        </w:trPr>
        <w:tc>
          <w:tcPr>
            <w:tcW w:type="dxa" w:w="720"/>
            <w:tcMar>
              <w:top w:w="100" w:type="dxa"/>
              <w:start w:w="120" w:type="dxa"/>
              <w:bottom w:w="100" w:type="dxa"/>
              <w:end w:w="120" w:type="dxa"/>
            </w:tcMar>
            <w:vAlign w:val="center"/>
          </w:tcPr>
          <w:p>
            <w:pPr>
              <w:jc w:val="center"/>
            </w:pPr>
            <w:r>
              <w:rPr>
                <w:rFonts w:ascii="Calibri" w:hAnsi="Calibri"/>
                <w:i/>
                <w:color w:val="4B5563"/>
                <w:sz w:val="17"/>
              </w:rPr>
              <w:t>R-004</w:t>
            </w:r>
          </w:p>
        </w:tc>
        <w:tc>
          <w:tcPr>
            <w:tcW w:type="dxa" w:w="12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0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74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2180"/>
            <w:tcMar>
              <w:top w:w="100" w:type="dxa"/>
              <w:start w:w="120" w:type="dxa"/>
              <w:bottom w:w="100" w:type="dxa"/>
              <w:end w:w="120" w:type="dxa"/>
            </w:tcMar>
            <w:vAlign w:val="center"/>
          </w:tcPr>
          <w:p>
            <w:pPr>
              <w:jc w:val="left"/>
            </w:pPr>
            <w:r>
              <w:rPr>
                <w:rFonts w:ascii="Calibri" w:hAnsi="Calibri"/>
                <w:i/>
                <w:color w:val="4B5563"/>
                <w:sz w:val="17"/>
              </w:rPr>
              <w:t>Type here</w:t>
            </w:r>
          </w:p>
        </w:tc>
        <w:tc>
          <w:tcPr>
            <w:tcW w:type="dxa" w:w="1380"/>
            <w:tcMar>
              <w:top w:w="100" w:type="dxa"/>
              <w:start w:w="120" w:type="dxa"/>
              <w:bottom w:w="100" w:type="dxa"/>
              <w:end w:w="120" w:type="dxa"/>
            </w:tcMar>
            <w:vAlign w:val="center"/>
          </w:tcPr>
          <w:p>
            <w:pPr>
              <w:jc w:val="center"/>
            </w:pPr>
            <w:r>
              <w:rPr>
                <w:rFonts w:ascii="Calibri" w:hAnsi="Calibri"/>
                <w:i/>
                <w:color w:val="4B5563"/>
                <w:sz w:val="17"/>
              </w:rPr>
              <w:t>Critical / Material / Editorial</w:t>
            </w:r>
          </w:p>
        </w:tc>
      </w:tr>
    </w:tbl>
    <w:p>
      <w:r>
        <w:br w:type="page"/>
      </w:r>
    </w:p>
    <w:p>
      <w:pPr>
        <w:pStyle w:val="Heading1"/>
        <w:keepNext/>
      </w:pPr>
      <w:r>
        <w:t>Overall recommendation</w:t>
      </w:r>
    </w:p>
    <w:p>
      <w:r>
        <w:rPr>
          <w:rFonts w:ascii="Calibri" w:hAnsi="Calibri"/>
          <w:i w:val="0"/>
          <w:color w:val="1F2937"/>
          <w:sz w:val="22"/>
        </w:rPr>
        <w:t>Recommendation: [ ] Publish as written  [ ] Publish after material changes  [ ] Do not publish until critical issues are resolved</w:t>
      </w:r>
    </w:p>
    <w:p>
      <w:pPr>
        <w:spacing w:before="80" w:after="40"/>
      </w:pPr>
      <w:r>
        <w:rPr>
          <w:rFonts w:ascii="Calibri" w:hAnsi="Calibri"/>
          <w:b/>
          <w:color w:val="0F172A"/>
          <w:sz w:val="22"/>
        </w:rPr>
        <w:t xml:space="preserve">Most important change: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What the guide does well: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1"/>
        <w:keepNext/>
      </w:pPr>
      <w:r>
        <w:t>Conflict and attribution choices</w:t>
      </w:r>
    </w:p>
    <w:p>
      <w:r>
        <w:rPr>
          <w:rFonts w:ascii="Calibri" w:hAnsi="Calibri"/>
          <w:i w:val="0"/>
          <w:color w:val="1F2937"/>
          <w:sz w:val="22"/>
        </w:rPr>
        <w:t>Relevant interests: [ ] None known  [ ] Employment  [ ] Vendor or client relationship  [ ] Funding  [ ] Active procurement  [ ] Other</w:t>
      </w:r>
    </w:p>
    <w:p>
      <w:pPr>
        <w:spacing w:before="80" w:after="40"/>
      </w:pPr>
      <w:r>
        <w:rPr>
          <w:rFonts w:ascii="Calibri" w:hAnsi="Calibri"/>
          <w:b/>
          <w:color w:val="0F172A"/>
          <w:sz w:val="22"/>
        </w:rPr>
        <w:t xml:space="preserve">Interest details: </w:t>
      </w:r>
      <w:r>
        <w:rPr>
          <w:rFonts w:ascii="Calibri" w:hAnsi="Calibri"/>
          <w:i/>
          <w:color w:val="4B5563"/>
          <w:sz w:val="22"/>
        </w:rPr>
        <w:t>Describe only what is necessary to interpret the review. This information is not automatically published.</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r>
        <w:rPr>
          <w:rFonts w:ascii="Calibri" w:hAnsi="Calibri"/>
          <w:i w:val="0"/>
          <w:color w:val="1F2937"/>
          <w:sz w:val="22"/>
        </w:rPr>
        <w:t>Attribution preference: [ ] Anonymous acknowledgment  [ ] No public acknowledgment  [ ] Named acknowledgment only after I approve the exact wording in writing</w:t>
      </w:r>
    </w:p>
    <w:p>
      <w:r>
        <w:rPr>
          <w:rFonts w:ascii="Calibri" w:hAnsi="Calibri"/>
          <w:i w:val="0"/>
          <w:color w:val="1F2937"/>
          <w:sz w:val="22"/>
        </w:rPr>
        <w:t>Quotation preference: [ ] Do not quote  [ ] Ask me to approve the exact quotation and context before publication</w:t>
      </w:r>
    </w:p>
    <w:p>
      <w:pPr>
        <w:spacing w:before="80" w:after="40"/>
      </w:pPr>
      <w:r>
        <w:rPr>
          <w:rFonts w:ascii="Calibri" w:hAnsi="Calibri"/>
          <w:b/>
          <w:color w:val="0F172A"/>
          <w:sz w:val="22"/>
        </w:rPr>
        <w:t xml:space="preserve">Approved contact route: </w:t>
      </w:r>
      <w:r>
        <w:rPr>
          <w:rFonts w:ascii="Calibri" w:hAnsi="Calibri"/>
          <w:i/>
          <w:color w:val="4B5563"/>
          <w:sz w:val="22"/>
        </w:rPr>
        <w:t>Optional. Provide only the email or route that may be used for follow-up about this review.</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200"/>
        <w:ind w:left="160" w:right="160"/>
        <w:shd w:fill="FFF7E6"/>
        <w:pBdr>
          <w:top w:val="single" w:sz="8" w:space="6" w:color="D7DEE8"/>
          <w:left w:val="single" w:sz="8" w:space="6" w:color="D7DEE8"/>
          <w:bottom w:val="single" w:sz="8" w:space="6" w:color="D7DEE8"/>
          <w:right w:val="single" w:sz="8" w:space="6" w:color="D7DEE8"/>
        </w:pBdr>
      </w:pPr>
      <w:r>
        <w:rPr>
          <w:rFonts w:ascii="Calibri" w:hAnsi="Calibri"/>
          <w:b/>
          <w:color w:val="1F4D78"/>
          <w:sz w:val="22"/>
        </w:rPr>
        <w:t xml:space="preserve">Permission boundary: </w:t>
      </w:r>
      <w:r>
        <w:rPr>
          <w:rFonts w:ascii="Calibri" w:hAnsi="Calibri"/>
          <w:color w:val="1F2937"/>
          <w:sz w:val="22"/>
        </w:rPr>
        <w:t>Completing this packet does not authorize publication of a name, title, organization, logo, quotation, or testimonial. The publisher must request and receive written approval for the exact attribution.</w:t>
      </w:r>
    </w:p>
    <w:p>
      <w:pPr>
        <w:pStyle w:val="Heading1"/>
        <w:keepNext/>
        <w:pageBreakBefore/>
      </w:pPr>
      <w:r>
        <w:t>Publisher resolution record</w:t>
      </w:r>
    </w:p>
    <w:p>
      <w:r>
        <w:rPr>
          <w:rFonts w:ascii="Calibri" w:hAnsi="Calibri"/>
          <w:i w:val="0"/>
          <w:color w:val="1F2937"/>
          <w:sz w:val="22"/>
        </w:rPr>
        <w:t>For JS Technology Solutions use after review. Preserve the reason for each material decision without publishing private reviewer information.</w:t>
      </w:r>
    </w:p>
    <w:p>
      <w:pPr>
        <w:spacing w:before="80" w:after="40"/>
      </w:pPr>
      <w:r>
        <w:rPr>
          <w:rFonts w:ascii="Calibri" w:hAnsi="Calibri"/>
          <w:b/>
          <w:color w:val="0F172A"/>
          <w:sz w:val="22"/>
        </w:rPr>
        <w:t xml:space="preserve">Reviewer perspective: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Materials reviewed: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Material changes accepted: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Material comments declined and reason: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Verification completed: </w:t>
      </w:r>
      <w:r>
        <w:rPr>
          <w:rFonts w:ascii="Calibri" w:hAnsi="Calibri"/>
          <w:i/>
          <w:color w:val="4B5563"/>
          <w:sz w:val="22"/>
        </w:rPr>
        <w:t>Type your response here.</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spacing w:before="80" w:after="40"/>
      </w:pPr>
      <w:r>
        <w:rPr>
          <w:rFonts w:ascii="Calibri" w:hAnsi="Calibri"/>
          <w:b/>
          <w:color w:val="0F172A"/>
          <w:sz w:val="22"/>
        </w:rPr>
        <w:t xml:space="preserve">Attribution approved: </w:t>
      </w:r>
      <w:r>
        <w:rPr>
          <w:rFonts w:ascii="Calibri" w:hAnsi="Calibri"/>
          <w:i/>
          <w:color w:val="4B5563"/>
          <w:sz w:val="22"/>
        </w:rPr>
        <w:t>Record the exact wording or “anonymous” only after written permission.</w:t>
      </w:r>
    </w:p>
    <w:p>
      <w:pPr>
        <w:spacing w:before="0" w:after="160"/>
        <w:ind w:left="160" w:right="160"/>
        <w:shd w:fill="FFFFFF"/>
        <w:pBdr>
          <w:top w:val="single" w:sz="8" w:space="6" w:color="CBD5E1"/>
          <w:left w:val="single" w:sz="8" w:space="6" w:color="CBD5E1"/>
          <w:bottom w:val="single" w:sz="8" w:space="6" w:color="CBD5E1"/>
          <w:right w:val="single" w:sz="8" w:space="6" w:color="CBD5E1"/>
        </w:pBdr>
      </w:pPr>
      <w:r>
        <w:t xml:space="preserve"> </w:t>
      </w:r>
    </w:p>
    <w:p>
      <w:pPr>
        <w:pStyle w:val="Heading1"/>
        <w:keepNext/>
      </w:pPr>
      <w:r>
        <w:t>Return route</w:t>
      </w:r>
    </w:p>
    <w:p>
      <w:r>
        <w:rPr>
          <w:rFonts w:ascii="Calibri" w:hAnsi="Calibri"/>
          <w:b/>
          <w:color w:val="1F2937"/>
          <w:sz w:val="22"/>
        </w:rPr>
        <w:t xml:space="preserve">Email: </w:t>
      </w:r>
      <w:hyperlink r:id="rId14">
        <w:r>
          <w:rPr>
            <w:color w:val="2E74B5"/>
            <w:u w:val="single"/>
          </w:rPr>
          <w:t>jserle@jstech-inc.com</w:t>
        </w:r>
      </w:hyperlink>
    </w:p>
    <w:p>
      <w:r>
        <w:rPr>
          <w:rFonts w:ascii="Calibri" w:hAnsi="Calibri"/>
          <w:b/>
          <w:color w:val="1F2937"/>
          <w:sz w:val="22"/>
        </w:rPr>
        <w:t>Suggested subject:</w:t>
      </w:r>
      <w:r>
        <w:rPr>
          <w:rFonts w:ascii="Calibri" w:hAnsi="Calibri"/>
          <w:i w:val="0"/>
          <w:color w:val="1F2937"/>
          <w:sz w:val="22"/>
        </w:rPr>
        <w:t xml:space="preserve"> Right-Sized Public Tech practitioner review</w:t>
      </w:r>
    </w:p>
    <w:p>
      <w:r>
        <w:rPr>
          <w:rFonts w:ascii="Calibri" w:hAnsi="Calibri"/>
          <w:i w:val="0"/>
          <w:color w:val="1F2937"/>
          <w:sz w:val="22"/>
        </w:rPr>
        <w:t>Do not send confidential, protected, procurement-sensitive, or employer-owned information. A reviewer may instead send concise notes without returning this file.</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8"/>
      </w:rPr>
      <w:t xml:space="preserve">Page </w:t>
    </w:r>
    <w:r>
      <w:rPr>
        <w:rFonts w:ascii="Calibri" w:hAnsi="Calibri"/>
        <w:color w:val="4B5563"/>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0F766E"/>
        <w:sz w:val="16"/>
      </w:rPr>
      <w:t>RIGHT-SIZED PUBLIC TECH  |  PRACTITIONER REVIEW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76"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76"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0F172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line="240" w:lineRule="auto"/>
    </w:pPr>
    <w:rPr>
      <w:rFonts w:asciiTheme="majorHAnsi" w:eastAsiaTheme="majorEastAsia" w:hAnsiTheme="majorHAnsi" w:cstheme="majorBidi" w:ascii="Calibri" w:hAnsi="Calibri"/>
      <w:b w:val="0"/>
      <w:i/>
      <w:iCs/>
      <w:color w:val="0F766E"/>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stech-inc.com/field-guide/guides/ai-procurement-scoping/" TargetMode="External"/><Relationship Id="rId12" Type="http://schemas.openxmlformats.org/officeDocument/2006/relationships/hyperlink" Target="https://www.jstech-inc.com/field-guide/guides/ai-procurement-worked-example/" TargetMode="External"/><Relationship Id="rId13" Type="http://schemas.openxmlformats.org/officeDocument/2006/relationships/hyperlink" Target="https://www.jstech-inc.com/field-guide/standards/" TargetMode="External"/><Relationship Id="rId14" Type="http://schemas.openxmlformats.org/officeDocument/2006/relationships/hyperlink" Target="mailto:jserle@jstech-inc.com?subject=Right-Sized%20Public%20Tech%20practitioner%20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Right-Sized Public Tech Practitioner Review Packet</dc:title>
  <dc:subject>Structured review of public AI procurement guidance</dc:subject>
  <dc:creator/>
  <cp:keywords>public procurement, AI procurement, practitioner review, field guide</cp:keywords>
  <dc:description>generated by python-docx</dc:description>
  <cp:lastModifiedBy/>
  <cp:revision>1</cp:revision>
  <dcterms:created xsi:type="dcterms:W3CDTF">2013-12-23T23:15:00Z</dcterms:created>
  <dcterms:modified xsi:type="dcterms:W3CDTF">2013-12-23T23:15:00Z</dcterms:modified>
  <cp:category/>
</cp:coreProperties>
</file>